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23B" w:rsidRDefault="00D3423B" w:rsidP="00D3423B">
      <w:pPr>
        <w:suppressLineNumbers/>
        <w:jc w:val="center"/>
      </w:pPr>
      <w:bookmarkStart w:id="0" w:name="_GoBack"/>
      <w:bookmarkEnd w:id="0"/>
      <w:r>
        <w:drawing>
          <wp:inline distT="0" distB="0" distL="0" distR="0" wp14:anchorId="098B1654" wp14:editId="4EA74A8B">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tblStyle w:val="a4"/>
        <w:bidiVisual/>
        <w:tblW w:w="1399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916"/>
        <w:gridCol w:w="8077"/>
      </w:tblGrid>
      <w:tr w:rsidR="00D3423B" w:rsidTr="00D3423B">
        <w:trPr>
          <w:jc w:val="center"/>
        </w:trPr>
        <w:tc>
          <w:tcPr>
            <w:tcW w:w="5916" w:type="dxa"/>
          </w:tcPr>
          <w:p w:rsidR="00D3423B" w:rsidRDefault="00D3423B">
            <w:pPr>
              <w:suppressLineNumbers/>
              <w:jc w:val="both"/>
              <w:rPr>
                <w:rFonts w:ascii="Arial" w:hAnsi="Arial"/>
                <w:b/>
                <w:bCs/>
                <w:sz w:val="26"/>
                <w:szCs w:val="26"/>
                <w:rtl/>
              </w:rPr>
            </w:pPr>
          </w:p>
          <w:p w:rsidR="00D3423B" w:rsidRDefault="00D3423B">
            <w:pPr>
              <w:suppressLineNumbers/>
              <w:jc w:val="both"/>
              <w:rPr>
                <w:rFonts w:ascii="Arial" w:hAnsi="Arial"/>
                <w:b/>
                <w:bCs/>
                <w:sz w:val="26"/>
                <w:szCs w:val="26"/>
                <w:rtl/>
              </w:rPr>
            </w:pPr>
          </w:p>
          <w:p w:rsidR="00D3423B" w:rsidRDefault="00D3423B">
            <w:pPr>
              <w:suppressLineNumbers/>
              <w:jc w:val="both"/>
              <w:rPr>
                <w:rFonts w:ascii="Arial" w:hAnsi="Arial"/>
                <w:b/>
                <w:bCs/>
                <w:sz w:val="26"/>
                <w:szCs w:val="26"/>
                <w:rtl/>
              </w:rPr>
            </w:pPr>
          </w:p>
        </w:tc>
        <w:tc>
          <w:tcPr>
            <w:tcW w:w="8077" w:type="dxa"/>
          </w:tcPr>
          <w:p w:rsidR="00D3423B" w:rsidRDefault="00D3423B">
            <w:pPr>
              <w:suppressLineNumbers/>
              <w:rPr>
                <w:sz w:val="26"/>
                <w:szCs w:val="26"/>
                <w:rtl/>
              </w:rPr>
            </w:pPr>
          </w:p>
          <w:p w:rsidR="00D3423B" w:rsidRDefault="00D3423B" w:rsidP="00D3423B">
            <w:pPr>
              <w:suppressLineNumbers/>
              <w:jc w:val="center"/>
              <w:rPr>
                <w:sz w:val="26"/>
                <w:szCs w:val="26"/>
                <w:rtl/>
              </w:rPr>
            </w:pPr>
            <w:r>
              <w:rPr>
                <w:rFonts w:ascii="Tahoma" w:hAnsi="Tahoma"/>
                <w:color w:val="000080"/>
                <w:sz w:val="32"/>
                <w:szCs w:val="32"/>
                <w:rtl/>
              </w:rPr>
              <w:t>בית המשפט המחוזי בבאר שבע</w:t>
            </w:r>
          </w:p>
        </w:tc>
      </w:tr>
    </w:tbl>
    <w:p w:rsidR="00D3423B" w:rsidRDefault="00D3423B" w:rsidP="00D3423B">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3423B" w:rsidTr="00D3423B">
        <w:trPr>
          <w:jc w:val="center"/>
        </w:trPr>
        <w:tc>
          <w:tcPr>
            <w:tcW w:w="743" w:type="dxa"/>
            <w:hideMark/>
          </w:tcPr>
          <w:p w:rsidR="00D3423B" w:rsidRDefault="00D3423B">
            <w:pPr>
              <w:suppressLineNumbers/>
              <w:jc w:val="both"/>
              <w:rPr>
                <w:rFonts w:ascii="Arial" w:hAnsi="Arial"/>
                <w:b/>
                <w:bCs/>
                <w:sz w:val="26"/>
                <w:szCs w:val="26"/>
                <w:rtl/>
              </w:rPr>
            </w:pPr>
          </w:p>
          <w:p w:rsidR="00D3423B" w:rsidRDefault="00D3423B">
            <w:pPr>
              <w:suppressLineNumbers/>
              <w:jc w:val="both"/>
              <w:rPr>
                <w:rFonts w:ascii="Arial" w:hAnsi="Arial"/>
                <w:b/>
                <w:bCs/>
                <w:sz w:val="26"/>
                <w:szCs w:val="26"/>
                <w:rtl/>
              </w:rPr>
            </w:pPr>
          </w:p>
          <w:p w:rsidR="00D3423B" w:rsidRDefault="00D3423B">
            <w:pPr>
              <w:suppressLineNumbers/>
              <w:jc w:val="both"/>
              <w:rPr>
                <w:rFonts w:ascii="Arial" w:hAnsi="Arial"/>
                <w:b/>
                <w:bCs/>
                <w:sz w:val="26"/>
                <w:szCs w:val="26"/>
                <w:rtl/>
              </w:rPr>
            </w:pPr>
          </w:p>
          <w:p w:rsidR="00D3423B" w:rsidRDefault="00D3423B">
            <w:pPr>
              <w:suppressLineNumbers/>
              <w:jc w:val="both"/>
              <w:rPr>
                <w:rFonts w:ascii="Arial" w:hAnsi="Arial"/>
                <w:b/>
                <w:bCs/>
                <w:sz w:val="26"/>
                <w:szCs w:val="26"/>
                <w:rtl/>
              </w:rPr>
            </w:pPr>
          </w:p>
          <w:p w:rsidR="00D3423B" w:rsidRDefault="00D3423B">
            <w:pPr>
              <w:suppressLineNumbers/>
              <w:jc w:val="both"/>
              <w:rPr>
                <w:rFonts w:ascii="Arial" w:hAnsi="Arial"/>
                <w:b/>
                <w:bCs/>
                <w:sz w:val="26"/>
                <w:szCs w:val="26"/>
                <w:rtl/>
              </w:rPr>
            </w:pPr>
          </w:p>
          <w:p w:rsidR="00D3423B" w:rsidRDefault="00D3423B">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D3423B" w:rsidRDefault="00D3423B" w:rsidP="00D3423B">
            <w:pPr>
              <w:suppressLineNumbers/>
              <w:jc w:val="left"/>
              <w:rPr>
                <w:rFonts w:ascii="Arial" w:hAnsi="Arial"/>
                <w:b/>
                <w:bCs/>
                <w:sz w:val="26"/>
                <w:szCs w:val="26"/>
                <w:rtl/>
              </w:rPr>
            </w:pPr>
          </w:p>
          <w:p w:rsidR="00D3423B" w:rsidRDefault="00C67C26" w:rsidP="00D3423B">
            <w:pPr>
              <w:suppressLineNumbers/>
              <w:jc w:val="left"/>
              <w:rPr>
                <w:rFonts w:ascii="Arial" w:hAnsi="Arial"/>
                <w:b/>
                <w:bCs/>
                <w:sz w:val="26"/>
                <w:szCs w:val="26"/>
                <w:rtl/>
              </w:rPr>
            </w:pPr>
            <w:sdt>
              <w:sdtPr>
                <w:rPr>
                  <w:rtl/>
                </w:rPr>
                <w:alias w:val="1170"/>
                <w:tag w:val="1170"/>
                <w:id w:val="-788668198"/>
                <w:text w:multiLine="1"/>
              </w:sdtPr>
              <w:sdtEndPr/>
              <w:sdtContent>
                <w:r w:rsidR="00D3423B">
                  <w:rPr>
                    <w:b/>
                    <w:bCs/>
                    <w:noProof w:val="0"/>
                    <w:sz w:val="26"/>
                    <w:szCs w:val="26"/>
                    <w:rtl/>
                  </w:rPr>
                  <w:t>רמ"ש</w:t>
                </w:r>
              </w:sdtContent>
            </w:sdt>
            <w:r w:rsidR="00D3423B">
              <w:rPr>
                <w:b/>
                <w:bCs/>
                <w:noProof w:val="0"/>
                <w:sz w:val="26"/>
                <w:szCs w:val="26"/>
                <w:rtl/>
              </w:rPr>
              <w:t xml:space="preserve"> </w:t>
            </w:r>
            <w:sdt>
              <w:sdtPr>
                <w:rPr>
                  <w:rtl/>
                </w:rPr>
                <w:alias w:val="1171"/>
                <w:tag w:val="1171"/>
                <w:id w:val="1818304141"/>
                <w:text w:multiLine="1"/>
              </w:sdtPr>
              <w:sdtEndPr/>
              <w:sdtContent>
                <w:r w:rsidR="00D3423B">
                  <w:rPr>
                    <w:b/>
                    <w:bCs/>
                    <w:noProof w:val="0"/>
                    <w:sz w:val="26"/>
                    <w:szCs w:val="26"/>
                    <w:rtl/>
                  </w:rPr>
                  <w:t>20374-09-23</w:t>
                </w:r>
              </w:sdtContent>
            </w:sdt>
            <w:r w:rsidR="00D3423B">
              <w:rPr>
                <w:b/>
                <w:bCs/>
                <w:noProof w:val="0"/>
                <w:sz w:val="26"/>
                <w:szCs w:val="26"/>
                <w:rtl/>
              </w:rPr>
              <w:t xml:space="preserve"> </w:t>
            </w:r>
            <w:sdt>
              <w:sdtPr>
                <w:rPr>
                  <w:b/>
                  <w:bCs/>
                  <w:noProof w:val="0"/>
                  <w:sz w:val="26"/>
                  <w:szCs w:val="26"/>
                  <w:rtl/>
                </w:rPr>
                <w:alias w:val="3154"/>
                <w:tag w:val="3154"/>
                <w:id w:val="1440570301"/>
                <w:placeholder>
                  <w:docPart w:val="99A7595D32374D98B01734AF66BD3A51"/>
                </w:placeholder>
                <w:text w:multiLine="1"/>
              </w:sdtPr>
              <w:sdtEndPr/>
              <w:sdtContent>
                <w:r w:rsidR="00D3423B">
                  <w:rPr>
                    <w:rFonts w:hint="cs"/>
                    <w:b/>
                    <w:bCs/>
                    <w:noProof w:val="0"/>
                    <w:sz w:val="26"/>
                    <w:szCs w:val="26"/>
                    <w:rtl/>
                  </w:rPr>
                  <w:t>פלוני</w:t>
                </w:r>
                <w:r w:rsidR="00D3423B">
                  <w:rPr>
                    <w:b/>
                    <w:bCs/>
                    <w:noProof w:val="0"/>
                    <w:sz w:val="26"/>
                    <w:szCs w:val="26"/>
                    <w:rtl/>
                  </w:rPr>
                  <w:t xml:space="preserve"> נ' </w:t>
                </w:r>
                <w:r w:rsidR="00D3423B">
                  <w:rPr>
                    <w:rFonts w:hint="cs"/>
                    <w:b/>
                    <w:bCs/>
                    <w:noProof w:val="0"/>
                    <w:sz w:val="26"/>
                    <w:szCs w:val="26"/>
                    <w:rtl/>
                  </w:rPr>
                  <w:t xml:space="preserve">פלונית </w:t>
                </w:r>
                <w:r w:rsidR="00D3423B">
                  <w:rPr>
                    <w:b/>
                    <w:bCs/>
                    <w:noProof w:val="0"/>
                    <w:sz w:val="26"/>
                    <w:szCs w:val="26"/>
                    <w:rtl/>
                  </w:rPr>
                  <w:br/>
                  <w:t xml:space="preserve">רמ"ש 11960-09-23 </w:t>
                </w:r>
                <w:r w:rsidR="00D3423B">
                  <w:rPr>
                    <w:rFonts w:hint="cs"/>
                    <w:b/>
                    <w:bCs/>
                    <w:noProof w:val="0"/>
                    <w:sz w:val="26"/>
                    <w:szCs w:val="26"/>
                    <w:rtl/>
                  </w:rPr>
                  <w:t xml:space="preserve">פלונית </w:t>
                </w:r>
                <w:r w:rsidR="00D3423B">
                  <w:rPr>
                    <w:b/>
                    <w:bCs/>
                    <w:noProof w:val="0"/>
                    <w:sz w:val="26"/>
                    <w:szCs w:val="26"/>
                    <w:rtl/>
                  </w:rPr>
                  <w:t xml:space="preserve">נ' </w:t>
                </w:r>
                <w:r w:rsidR="00D3423B">
                  <w:rPr>
                    <w:rFonts w:hint="cs"/>
                    <w:b/>
                    <w:bCs/>
                    <w:noProof w:val="0"/>
                    <w:sz w:val="26"/>
                    <w:szCs w:val="26"/>
                    <w:rtl/>
                  </w:rPr>
                  <w:t>פלוני</w:t>
                </w:r>
                <w:r w:rsidR="00D3423B">
                  <w:rPr>
                    <w:b/>
                    <w:bCs/>
                    <w:noProof w:val="0"/>
                    <w:sz w:val="26"/>
                    <w:szCs w:val="26"/>
                    <w:rtl/>
                  </w:rPr>
                  <w:t xml:space="preserve"> </w:t>
                </w:r>
              </w:sdtContent>
            </w:sdt>
          </w:p>
          <w:p w:rsidR="00D3423B" w:rsidRDefault="00D3423B" w:rsidP="00D3423B">
            <w:pPr>
              <w:suppressLineNumbers/>
              <w:jc w:val="left"/>
              <w:rPr>
                <w:rFonts w:ascii="Arial" w:hAnsi="Arial"/>
                <w:b/>
                <w:bCs/>
                <w:sz w:val="26"/>
                <w:szCs w:val="26"/>
                <w:rtl/>
              </w:rPr>
            </w:pPr>
          </w:p>
          <w:p w:rsidR="00D3423B" w:rsidRDefault="00D3423B" w:rsidP="00D3423B">
            <w:pPr>
              <w:suppressLineNumbers/>
              <w:jc w:val="left"/>
              <w:rPr>
                <w:rFonts w:ascii="Arial" w:hAnsi="Arial"/>
                <w:b/>
                <w:bCs/>
                <w:sz w:val="26"/>
                <w:szCs w:val="26"/>
                <w:rtl/>
              </w:rPr>
            </w:pPr>
          </w:p>
          <w:p w:rsidR="00D3423B" w:rsidRDefault="00D3423B" w:rsidP="00D3423B">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289212648"/>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972368323"/>
                <w:text w:multiLine="1"/>
              </w:sdtPr>
              <w:sdtEndPr/>
              <w:sdtContent>
                <w:r>
                  <w:rPr>
                    <w:rFonts w:ascii="Arial" w:hAnsi="Arial"/>
                    <w:b/>
                    <w:bCs/>
                    <w:sz w:val="26"/>
                    <w:szCs w:val="26"/>
                    <w:rtl/>
                  </w:rPr>
                  <w:t>פאני גילת כהן</w:t>
                </w:r>
                <w:r>
                  <w:rPr>
                    <w:rFonts w:ascii="Arial" w:hAnsi="Arial"/>
                    <w:b/>
                    <w:bCs/>
                    <w:sz w:val="26"/>
                    <w:szCs w:val="26"/>
                    <w:rtl/>
                  </w:rPr>
                  <w:br/>
                </w:r>
                <w:r>
                  <w:rPr>
                    <w:sz w:val="26"/>
                    <w:szCs w:val="26"/>
                    <w:rtl/>
                  </w:rPr>
                  <w:br/>
                </w:r>
              </w:sdtContent>
            </w:sdt>
          </w:p>
          <w:p w:rsidR="00D3423B" w:rsidRDefault="00D3423B">
            <w:pPr>
              <w:suppressLineNumbers/>
              <w:rPr>
                <w:sz w:val="26"/>
                <w:szCs w:val="26"/>
                <w:rtl/>
              </w:rPr>
            </w:pPr>
          </w:p>
        </w:tc>
      </w:tr>
      <w:tr w:rsidR="00D3423B" w:rsidTr="00D3423B">
        <w:trPr>
          <w:jc w:val="center"/>
        </w:trPr>
        <w:tc>
          <w:tcPr>
            <w:tcW w:w="3249" w:type="dxa"/>
            <w:gridSpan w:val="2"/>
          </w:tcPr>
          <w:p w:rsidR="00D3423B" w:rsidRDefault="00D3423B">
            <w:pPr>
              <w:suppressLineNumbers/>
              <w:rPr>
                <w:rtl/>
              </w:rPr>
            </w:pPr>
          </w:p>
          <w:sdt>
            <w:sdtPr>
              <w:rPr>
                <w:b/>
                <w:bCs/>
                <w:sz w:val="26"/>
                <w:szCs w:val="26"/>
                <w:rtl/>
              </w:rPr>
              <w:alias w:val="1180"/>
              <w:tag w:val="1180"/>
              <w:id w:val="637458750"/>
              <w:text w:multiLine="1"/>
            </w:sdtPr>
            <w:sdtEndPr/>
            <w:sdtContent>
              <w:p w:rsidR="00D3423B" w:rsidRDefault="00D3423B">
                <w:pPr>
                  <w:suppressLineNumbers/>
                  <w:jc w:val="left"/>
                  <w:rPr>
                    <w:rFonts w:ascii="Arial" w:hAnsi="Arial"/>
                    <w:b/>
                    <w:bCs/>
                    <w:noProof w:val="0"/>
                    <w:sz w:val="26"/>
                    <w:szCs w:val="26"/>
                  </w:rPr>
                </w:pPr>
                <w:r>
                  <w:rPr>
                    <w:rFonts w:ascii="Arial" w:hAnsi="Arial"/>
                    <w:b/>
                    <w:bCs/>
                    <w:noProof w:val="0"/>
                    <w:sz w:val="26"/>
                    <w:szCs w:val="26"/>
                    <w:rtl/>
                  </w:rPr>
                  <w:t>המבקש</w:t>
                </w:r>
                <w:r>
                  <w:rPr>
                    <w:b/>
                    <w:bCs/>
                    <w:sz w:val="26"/>
                    <w:szCs w:val="26"/>
                    <w:rtl/>
                  </w:rPr>
                  <w:t xml:space="preserve"> ברמ"ש 20374-09-23 </w:t>
                </w:r>
                <w:r>
                  <w:rPr>
                    <w:b/>
                    <w:bCs/>
                    <w:sz w:val="26"/>
                    <w:szCs w:val="26"/>
                    <w:rtl/>
                  </w:rPr>
                  <w:br/>
                  <w:t>המשיב ברמ"ש 11960-09-23</w:t>
                </w:r>
              </w:p>
            </w:sdtContent>
          </w:sdt>
        </w:tc>
        <w:tc>
          <w:tcPr>
            <w:tcW w:w="5571" w:type="dxa"/>
          </w:tcPr>
          <w:p w:rsidR="00D3423B" w:rsidRDefault="00D3423B">
            <w:pPr>
              <w:suppressLineNumbers/>
              <w:rPr>
                <w:rtl/>
              </w:rPr>
            </w:pPr>
          </w:p>
          <w:p w:rsidR="00D3423B" w:rsidRDefault="00C67C26" w:rsidP="00D3423B">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79E710C072C847EE85236BE686835B7A"/>
                </w:placeholder>
                <w:text w:multiLine="1"/>
              </w:sdtPr>
              <w:sdtEndPr/>
              <w:sdtContent>
                <w:r w:rsidR="00D3423B">
                  <w:rPr>
                    <w:rFonts w:ascii="Arial" w:hAnsi="Arial" w:hint="cs"/>
                    <w:b/>
                    <w:bCs/>
                    <w:noProof w:val="0"/>
                    <w:sz w:val="26"/>
                    <w:szCs w:val="26"/>
                    <w:rtl/>
                  </w:rPr>
                  <w:t xml:space="preserve">                          פלוני</w:t>
                </w:r>
                <w:r w:rsidR="00D3423B">
                  <w:rPr>
                    <w:rFonts w:ascii="Arial" w:hAnsi="Arial"/>
                    <w:b/>
                    <w:bCs/>
                    <w:noProof w:val="0"/>
                    <w:sz w:val="26"/>
                    <w:szCs w:val="26"/>
                    <w:rtl/>
                  </w:rPr>
                  <w:t xml:space="preserve"> </w:t>
                </w:r>
                <w:r w:rsidR="00D3423B">
                  <w:rPr>
                    <w:rFonts w:ascii="Arial" w:hAnsi="Arial"/>
                    <w:b/>
                    <w:bCs/>
                    <w:noProof w:val="0"/>
                    <w:sz w:val="26"/>
                    <w:szCs w:val="26"/>
                    <w:rtl/>
                  </w:rPr>
                  <w:br/>
                </w:r>
                <w:r w:rsidR="00D3423B">
                  <w:rPr>
                    <w:rFonts w:ascii="Arial" w:hAnsi="Arial" w:hint="cs"/>
                    <w:b/>
                    <w:bCs/>
                    <w:noProof w:val="0"/>
                    <w:sz w:val="26"/>
                    <w:szCs w:val="26"/>
                    <w:rtl/>
                  </w:rPr>
                  <w:t xml:space="preserve">                          </w:t>
                </w:r>
                <w:r w:rsidR="00D3423B">
                  <w:rPr>
                    <w:rFonts w:ascii="Arial" w:hAnsi="Arial"/>
                    <w:b/>
                    <w:bCs/>
                    <w:noProof w:val="0"/>
                    <w:sz w:val="26"/>
                    <w:szCs w:val="26"/>
                    <w:rtl/>
                  </w:rPr>
                  <w:t>באמצעות ב"כ עו"ד אלי סלהוב ואח'</w:t>
                </w:r>
                <w:r w:rsidR="00D3423B">
                  <w:rPr>
                    <w:rFonts w:ascii="Arial" w:hAnsi="Arial"/>
                    <w:b/>
                    <w:bCs/>
                    <w:noProof w:val="0"/>
                    <w:sz w:val="26"/>
                    <w:szCs w:val="26"/>
                    <w:rtl/>
                  </w:rPr>
                  <w:br/>
                </w:r>
              </w:sdtContent>
            </w:sdt>
          </w:p>
        </w:tc>
      </w:tr>
      <w:tr w:rsidR="00D3423B" w:rsidTr="00D3423B">
        <w:trPr>
          <w:jc w:val="center"/>
        </w:trPr>
        <w:tc>
          <w:tcPr>
            <w:tcW w:w="8820" w:type="dxa"/>
            <w:gridSpan w:val="3"/>
          </w:tcPr>
          <w:p w:rsidR="00D3423B" w:rsidRDefault="00D3423B">
            <w:pPr>
              <w:suppressLineNumbers/>
              <w:rPr>
                <w:rFonts w:ascii="Arial" w:hAnsi="Arial"/>
                <w:b/>
                <w:bCs/>
                <w:noProof w:val="0"/>
                <w:sz w:val="26"/>
                <w:szCs w:val="26"/>
                <w:rtl/>
              </w:rPr>
            </w:pPr>
          </w:p>
          <w:p w:rsidR="00D3423B" w:rsidRDefault="00D3423B">
            <w:pPr>
              <w:suppressLineNumbers/>
              <w:jc w:val="center"/>
              <w:rPr>
                <w:rFonts w:ascii="Arial" w:hAnsi="Arial"/>
                <w:b/>
                <w:bCs/>
                <w:noProof w:val="0"/>
                <w:sz w:val="26"/>
                <w:szCs w:val="26"/>
              </w:rPr>
            </w:pPr>
          </w:p>
        </w:tc>
      </w:tr>
      <w:tr w:rsidR="00D3423B" w:rsidTr="00D3423B">
        <w:trPr>
          <w:jc w:val="center"/>
        </w:trPr>
        <w:tc>
          <w:tcPr>
            <w:tcW w:w="3249" w:type="dxa"/>
            <w:gridSpan w:val="2"/>
            <w:hideMark/>
          </w:tcPr>
          <w:p w:rsidR="00D3423B" w:rsidRDefault="00C67C26" w:rsidP="00D3423B">
            <w:pPr>
              <w:suppressLineNumbers/>
              <w:jc w:val="left"/>
              <w:rPr>
                <w:rFonts w:ascii="Arial" w:hAnsi="Arial"/>
                <w:b/>
                <w:bCs/>
                <w:noProof w:val="0"/>
                <w:sz w:val="26"/>
                <w:szCs w:val="26"/>
                <w:rtl/>
              </w:rPr>
            </w:pPr>
            <w:sdt>
              <w:sdtPr>
                <w:rPr>
                  <w:b/>
                  <w:bCs/>
                  <w:sz w:val="26"/>
                  <w:szCs w:val="26"/>
                  <w:rtl/>
                </w:rPr>
                <w:alias w:val="1184"/>
                <w:tag w:val="1184"/>
                <w:id w:val="-340621022"/>
                <w:text w:multiLine="1"/>
              </w:sdtPr>
              <w:sdtEndPr/>
              <w:sdtContent>
                <w:r w:rsidR="00D3423B">
                  <w:rPr>
                    <w:rFonts w:ascii="Arial" w:hAnsi="Arial"/>
                    <w:b/>
                    <w:bCs/>
                    <w:noProof w:val="0"/>
                    <w:sz w:val="26"/>
                    <w:szCs w:val="26"/>
                    <w:rtl/>
                  </w:rPr>
                  <w:t>המבקשת ברמ"ש 11960-09-23</w:t>
                </w:r>
                <w:r w:rsidR="00D3423B">
                  <w:rPr>
                    <w:b/>
                    <w:bCs/>
                    <w:sz w:val="26"/>
                    <w:szCs w:val="26"/>
                    <w:rtl/>
                  </w:rPr>
                  <w:br/>
                  <w:t>המשיבה ברמ"ש 20374-09-23</w:t>
                </w:r>
                <w:r w:rsidR="00D3423B">
                  <w:rPr>
                    <w:b/>
                    <w:bCs/>
                    <w:sz w:val="26"/>
                    <w:szCs w:val="26"/>
                    <w:rtl/>
                  </w:rPr>
                  <w:br/>
                </w:r>
              </w:sdtContent>
            </w:sdt>
          </w:p>
        </w:tc>
        <w:tc>
          <w:tcPr>
            <w:tcW w:w="5571" w:type="dxa"/>
            <w:hideMark/>
          </w:tcPr>
          <w:p w:rsidR="00D3423B" w:rsidRDefault="00C67C26" w:rsidP="00D3423B">
            <w:pPr>
              <w:suppressLineNumbers/>
              <w:jc w:val="left"/>
              <w:rPr>
                <w:rFonts w:ascii="Arial" w:hAnsi="Arial"/>
                <w:b/>
                <w:bCs/>
                <w:noProof w:val="0"/>
                <w:sz w:val="26"/>
                <w:szCs w:val="26"/>
              </w:rPr>
            </w:pPr>
            <w:sdt>
              <w:sdtPr>
                <w:rPr>
                  <w:rFonts w:ascii="Arial" w:hAnsi="Arial"/>
                  <w:b/>
                  <w:bCs/>
                  <w:noProof w:val="0"/>
                  <w:sz w:val="26"/>
                  <w:szCs w:val="26"/>
                  <w:rtl/>
                </w:rPr>
                <w:alias w:val="3152"/>
                <w:tag w:val="3152"/>
                <w:id w:val="-1346628691"/>
                <w:placeholder>
                  <w:docPart w:val="22A911F7C6C042AEBE545433631CFFBE"/>
                </w:placeholder>
                <w:text w:multiLine="1"/>
              </w:sdtPr>
              <w:sdtEndPr/>
              <w:sdtContent>
                <w:r w:rsidR="00D3423B">
                  <w:rPr>
                    <w:rFonts w:ascii="Arial" w:hAnsi="Arial" w:hint="cs"/>
                    <w:b/>
                    <w:bCs/>
                    <w:noProof w:val="0"/>
                    <w:sz w:val="26"/>
                    <w:szCs w:val="26"/>
                    <w:rtl/>
                  </w:rPr>
                  <w:t xml:space="preserve">                          פלונית </w:t>
                </w:r>
                <w:r w:rsidR="00D3423B">
                  <w:rPr>
                    <w:rFonts w:ascii="Arial" w:hAnsi="Arial"/>
                    <w:b/>
                    <w:bCs/>
                    <w:noProof w:val="0"/>
                    <w:sz w:val="26"/>
                    <w:szCs w:val="26"/>
                    <w:rtl/>
                  </w:rPr>
                  <w:br/>
                </w:r>
                <w:r w:rsidR="00D3423B">
                  <w:rPr>
                    <w:rFonts w:ascii="Arial" w:hAnsi="Arial" w:hint="cs"/>
                    <w:b/>
                    <w:bCs/>
                    <w:noProof w:val="0"/>
                    <w:sz w:val="26"/>
                    <w:szCs w:val="26"/>
                    <w:rtl/>
                  </w:rPr>
                  <w:t xml:space="preserve">                          </w:t>
                </w:r>
                <w:r w:rsidR="00D3423B">
                  <w:rPr>
                    <w:rFonts w:ascii="Arial" w:hAnsi="Arial"/>
                    <w:b/>
                    <w:bCs/>
                    <w:noProof w:val="0"/>
                    <w:sz w:val="26"/>
                    <w:szCs w:val="26"/>
                    <w:rtl/>
                  </w:rPr>
                  <w:t>באמצעות ב"כ עו"ד שי שפירא</w:t>
                </w:r>
              </w:sdtContent>
            </w:sdt>
          </w:p>
        </w:tc>
      </w:tr>
      <w:tr w:rsidR="00D3423B" w:rsidTr="00D3423B">
        <w:trPr>
          <w:trHeight w:val="80"/>
          <w:jc w:val="center"/>
        </w:trPr>
        <w:tc>
          <w:tcPr>
            <w:tcW w:w="8820" w:type="dxa"/>
            <w:gridSpan w:val="3"/>
          </w:tcPr>
          <w:p w:rsidR="00D3423B" w:rsidRDefault="00D3423B">
            <w:pPr>
              <w:suppressLineNumbers/>
            </w:pPr>
          </w:p>
          <w:p w:rsidR="00D3423B" w:rsidRDefault="00D3423B">
            <w:pPr>
              <w:suppressLineNumbers/>
              <w:rPr>
                <w:rtl/>
              </w:rPr>
            </w:pPr>
          </w:p>
        </w:tc>
      </w:tr>
      <w:tr w:rsidR="00D3423B" w:rsidTr="00D3423B">
        <w:trPr>
          <w:jc w:val="center"/>
        </w:trPr>
        <w:tc>
          <w:tcPr>
            <w:tcW w:w="8820" w:type="dxa"/>
            <w:gridSpan w:val="3"/>
          </w:tcPr>
          <w:p w:rsidR="00D3423B" w:rsidRDefault="00D3423B">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D3423B" w:rsidRDefault="00D3423B">
            <w:pPr>
              <w:bidi w:val="0"/>
              <w:jc w:val="center"/>
              <w:rPr>
                <w:rFonts w:ascii="Arial" w:hAnsi="Arial"/>
                <w:b/>
                <w:bCs/>
                <w:noProof w:val="0"/>
                <w:sz w:val="28"/>
                <w:szCs w:val="28"/>
                <w:u w:val="single"/>
                <w:rtl/>
              </w:rPr>
            </w:pPr>
            <w:r>
              <w:rPr>
                <w:rFonts w:ascii="Arial" w:hAnsi="Arial"/>
                <w:b/>
                <w:bCs/>
                <w:noProof w:val="0"/>
                <w:sz w:val="28"/>
                <w:szCs w:val="28"/>
                <w:u w:val="single"/>
                <w:rtl/>
              </w:rPr>
              <w:t xml:space="preserve">בשני ההליכים שבכותרת </w:t>
            </w:r>
          </w:p>
          <w:p w:rsidR="00D3423B" w:rsidRDefault="00D3423B">
            <w:pPr>
              <w:bidi w:val="0"/>
              <w:jc w:val="center"/>
              <w:rPr>
                <w:rFonts w:ascii="Arial" w:hAnsi="Arial"/>
                <w:b/>
                <w:bCs/>
                <w:noProof w:val="0"/>
                <w:sz w:val="28"/>
                <w:szCs w:val="28"/>
                <w:u w:val="single"/>
                <w:rtl/>
              </w:rPr>
            </w:pPr>
          </w:p>
        </w:tc>
      </w:tr>
    </w:tbl>
    <w:p w:rsidR="00D3423B" w:rsidRDefault="00D3423B" w:rsidP="00D3423B">
      <w:pPr>
        <w:pStyle w:val="a3"/>
        <w:spacing w:line="360" w:lineRule="auto"/>
        <w:ind w:left="227"/>
        <w:jc w:val="both"/>
        <w:rPr>
          <w:rFonts w:ascii="Arial" w:hAnsi="Arial"/>
          <w:noProof w:val="0"/>
          <w:rtl/>
        </w:rPr>
      </w:pPr>
      <w:bookmarkStart w:id="1" w:name="NGCSBookmark"/>
      <w:bookmarkEnd w:id="1"/>
    </w:p>
    <w:p w:rsidR="00D3423B" w:rsidRDefault="00D3423B" w:rsidP="0053516F">
      <w:pPr>
        <w:pStyle w:val="a3"/>
        <w:spacing w:line="360" w:lineRule="auto"/>
        <w:ind w:left="227"/>
        <w:jc w:val="both"/>
        <w:rPr>
          <w:rFonts w:ascii="Arial" w:hAnsi="Arial"/>
          <w:noProof w:val="0"/>
          <w:rtl/>
        </w:rPr>
      </w:pPr>
      <w:r>
        <w:rPr>
          <w:rFonts w:ascii="Arial" w:hAnsi="Arial"/>
          <w:noProof w:val="0"/>
          <w:rtl/>
        </w:rPr>
        <w:t>שתי בקשות רשות ערעור לפניי, שהוגשו ע"י כל אחד מן הצדדים, כנגד החלטת בית המשפט לענייני משפחה באשדוד מיום 21.06.2023.</w:t>
      </w:r>
    </w:p>
    <w:p w:rsidR="00D3423B" w:rsidRDefault="00D3423B" w:rsidP="00D3423B">
      <w:pPr>
        <w:pStyle w:val="a3"/>
        <w:spacing w:line="360" w:lineRule="auto"/>
        <w:ind w:left="227"/>
        <w:jc w:val="both"/>
        <w:rPr>
          <w:rFonts w:ascii="Arial" w:hAnsi="Arial"/>
          <w:noProof w:val="0"/>
        </w:rPr>
      </w:pPr>
    </w:p>
    <w:p w:rsidR="00D3423B" w:rsidRDefault="00D3423B" w:rsidP="00D3423B">
      <w:pPr>
        <w:pStyle w:val="a3"/>
        <w:spacing w:line="360" w:lineRule="auto"/>
        <w:ind w:left="227"/>
        <w:jc w:val="both"/>
        <w:rPr>
          <w:rFonts w:ascii="Arial" w:hAnsi="Arial"/>
          <w:noProof w:val="0"/>
          <w:rtl/>
        </w:rPr>
      </w:pPr>
      <w:r>
        <w:rPr>
          <w:rFonts w:ascii="Arial" w:hAnsi="Arial"/>
          <w:noProof w:val="0"/>
          <w:rtl/>
        </w:rPr>
        <w:t>מטעמי יעילות ושעה שעניין לנו בבקשות המכוונות כנגד אותה החלטה ניתנת ההחלטה בהן במאוחד.</w:t>
      </w:r>
    </w:p>
    <w:p w:rsidR="00D3423B" w:rsidRDefault="00D3423B" w:rsidP="00D3423B">
      <w:pPr>
        <w:pStyle w:val="a3"/>
        <w:spacing w:line="360" w:lineRule="auto"/>
        <w:ind w:left="227"/>
        <w:jc w:val="both"/>
        <w:rPr>
          <w:rFonts w:ascii="Arial" w:hAnsi="Arial"/>
          <w:noProof w:val="0"/>
          <w:rtl/>
        </w:rPr>
      </w:pPr>
    </w:p>
    <w:p w:rsidR="00D3423B" w:rsidRDefault="00D3423B" w:rsidP="00D3423B">
      <w:pPr>
        <w:pStyle w:val="a3"/>
        <w:spacing w:line="360" w:lineRule="auto"/>
        <w:ind w:left="227"/>
        <w:jc w:val="both"/>
        <w:rPr>
          <w:rFonts w:ascii="Arial" w:hAnsi="Arial"/>
          <w:noProof w:val="0"/>
          <w:rtl/>
        </w:rPr>
      </w:pPr>
      <w:r>
        <w:rPr>
          <w:rFonts w:ascii="Arial" w:hAnsi="Arial"/>
          <w:noProof w:val="0"/>
          <w:rtl/>
        </w:rPr>
        <w:t xml:space="preserve">למען הנוחות ובהינתן מעמדם השונה בכל אחד מן ההליכים שבכותרת והקרבה המשפחתית ביניהם, ייקראו להלן הצדדים: </w:t>
      </w:r>
      <w:r>
        <w:rPr>
          <w:rFonts w:ascii="Arial" w:hAnsi="Arial"/>
          <w:b/>
          <w:bCs/>
          <w:noProof w:val="0"/>
          <w:rtl/>
        </w:rPr>
        <w:t xml:space="preserve">"האח" </w:t>
      </w:r>
      <w:r>
        <w:rPr>
          <w:rFonts w:ascii="Arial" w:hAnsi="Arial"/>
          <w:noProof w:val="0"/>
          <w:rtl/>
        </w:rPr>
        <w:t xml:space="preserve">ו- </w:t>
      </w:r>
      <w:r>
        <w:rPr>
          <w:rFonts w:ascii="Arial" w:hAnsi="Arial"/>
          <w:b/>
          <w:bCs/>
          <w:noProof w:val="0"/>
          <w:rtl/>
        </w:rPr>
        <w:t xml:space="preserve">"האחות" </w:t>
      </w:r>
      <w:r>
        <w:rPr>
          <w:rFonts w:ascii="Arial" w:hAnsi="Arial"/>
          <w:noProof w:val="0"/>
          <w:rtl/>
        </w:rPr>
        <w:t>בהתאם לעניין.</w:t>
      </w:r>
    </w:p>
    <w:p w:rsidR="00D3423B" w:rsidRDefault="00D3423B" w:rsidP="00D3423B">
      <w:pPr>
        <w:pStyle w:val="a3"/>
        <w:spacing w:line="360" w:lineRule="auto"/>
        <w:ind w:left="227"/>
        <w:jc w:val="both"/>
        <w:rPr>
          <w:rFonts w:ascii="Arial" w:hAnsi="Arial"/>
          <w:noProof w:val="0"/>
          <w:rtl/>
        </w:rPr>
      </w:pPr>
    </w:p>
    <w:p w:rsidR="00D3423B" w:rsidRDefault="00D3423B" w:rsidP="00D3423B">
      <w:pPr>
        <w:pStyle w:val="a3"/>
        <w:spacing w:line="360" w:lineRule="auto"/>
        <w:ind w:left="227"/>
        <w:jc w:val="both"/>
        <w:rPr>
          <w:rFonts w:ascii="Arial" w:hAnsi="Arial"/>
          <w:noProof w:val="0"/>
          <w:rtl/>
        </w:rPr>
      </w:pPr>
      <w:r>
        <w:rPr>
          <w:rFonts w:ascii="Arial" w:hAnsi="Arial"/>
          <w:noProof w:val="0"/>
          <w:rtl/>
        </w:rPr>
        <w:t>עניינה של ההחלטה נושא דיוננו הוא בקשת האח לסילוק תביעת האחות על הסף, אשר נתקבלה באופן חלקי.</w:t>
      </w:r>
    </w:p>
    <w:p w:rsidR="00D3423B" w:rsidRDefault="00D3423B" w:rsidP="00D3423B">
      <w:pPr>
        <w:rPr>
          <w:rFonts w:ascii="David" w:hAnsi="David"/>
          <w:rtl/>
        </w:rPr>
      </w:pPr>
    </w:p>
    <w:p w:rsidR="00D3423B" w:rsidRDefault="00D3423B" w:rsidP="00D3423B">
      <w:pPr>
        <w:rPr>
          <w:rFonts w:ascii="David" w:hAnsi="David"/>
          <w:b/>
          <w:bCs/>
          <w:sz w:val="26"/>
          <w:szCs w:val="26"/>
          <w:u w:val="single"/>
          <w:rtl/>
        </w:rPr>
      </w:pPr>
      <w:r>
        <w:rPr>
          <w:rFonts w:ascii="David" w:hAnsi="David"/>
          <w:b/>
          <w:bCs/>
          <w:sz w:val="26"/>
          <w:szCs w:val="26"/>
          <w:u w:val="single"/>
          <w:rtl/>
        </w:rPr>
        <w:t>השתלשלות העניינים עד כה והעובדות הצריכות לעניין</w:t>
      </w:r>
    </w:p>
    <w:p w:rsidR="00D3423B" w:rsidRDefault="00D3423B" w:rsidP="00D3423B">
      <w:pPr>
        <w:rPr>
          <w:rFonts w:ascii="David" w:hAnsi="David"/>
          <w:b/>
          <w:bCs/>
          <w:u w:val="single"/>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 xml:space="preserve">מן המונח לפניי עולה, כי למרבה הצער שוררת בין האחים יריבות ממושכת, וההתדיינות המשפטית ביניהם נמשכת כבר שנים מספר, והם שבים ופוקדים שערי בתי המשפט והביאו </w:t>
      </w:r>
      <w:r>
        <w:rPr>
          <w:rFonts w:ascii="Arial" w:hAnsi="Arial"/>
          <w:noProof w:val="0"/>
          <w:rtl/>
        </w:rPr>
        <w:lastRenderedPageBreak/>
        <w:t>כבר המחלוקות ביניהם בפני כל ערכאות השיפוט – בית המשפט קמא, בית משפט זה ובית המשפט העליון.</w:t>
      </w:r>
    </w:p>
    <w:p w:rsidR="0053516F" w:rsidRDefault="0053516F" w:rsidP="0053516F">
      <w:pPr>
        <w:pStyle w:val="a3"/>
        <w:spacing w:line="360" w:lineRule="auto"/>
        <w:ind w:left="714"/>
        <w:jc w:val="both"/>
        <w:rPr>
          <w:rFonts w:ascii="Arial" w:hAnsi="Arial"/>
          <w:noProof w:val="0"/>
          <w:rtl/>
        </w:rPr>
      </w:pPr>
    </w:p>
    <w:p w:rsidR="00D3423B" w:rsidRDefault="00D3423B" w:rsidP="0053516F">
      <w:pPr>
        <w:pStyle w:val="a3"/>
        <w:numPr>
          <w:ilvl w:val="0"/>
          <w:numId w:val="1"/>
        </w:numPr>
        <w:spacing w:line="360" w:lineRule="auto"/>
        <w:ind w:left="714" w:hanging="357"/>
        <w:jc w:val="both"/>
        <w:rPr>
          <w:rFonts w:ascii="Arial" w:hAnsi="Arial"/>
          <w:noProof w:val="0"/>
          <w:rtl/>
        </w:rPr>
      </w:pPr>
      <w:r>
        <w:rPr>
          <w:rFonts w:ascii="Arial" w:hAnsi="Arial"/>
          <w:noProof w:val="0"/>
          <w:rtl/>
        </w:rPr>
        <w:t xml:space="preserve">בלב המחלוקת ביניהם דירת מגורים השוכנת </w:t>
      </w:r>
      <w:r w:rsidR="0053516F">
        <w:rPr>
          <w:rFonts w:ascii="Arial" w:hAnsi="Arial" w:hint="cs"/>
          <w:noProof w:val="0"/>
          <w:rtl/>
        </w:rPr>
        <w:t>ב....</w:t>
      </w:r>
      <w:r>
        <w:rPr>
          <w:rFonts w:ascii="Arial" w:hAnsi="Arial"/>
          <w:noProof w:val="0"/>
          <w:rtl/>
        </w:rPr>
        <w:t xml:space="preserve">, שהזכויות בה רשומות על שם האח (להלן: </w:t>
      </w:r>
      <w:r>
        <w:rPr>
          <w:rFonts w:ascii="Arial" w:hAnsi="Arial"/>
          <w:b/>
          <w:bCs/>
          <w:noProof w:val="0"/>
          <w:rtl/>
        </w:rPr>
        <w:t>"הדירה"</w:t>
      </w:r>
      <w:r>
        <w:rPr>
          <w:rFonts w:ascii="Arial" w:hAnsi="Arial"/>
          <w:noProof w:val="0"/>
          <w:rtl/>
        </w:rPr>
        <w:t>).</w:t>
      </w:r>
    </w:p>
    <w:p w:rsidR="00D3423B" w:rsidRDefault="00D3423B" w:rsidP="00D3423B">
      <w:pPr>
        <w:pStyle w:val="a3"/>
        <w:spacing w:line="360" w:lineRule="auto"/>
        <w:ind w:left="714"/>
        <w:jc w:val="both"/>
        <w:rPr>
          <w:rFonts w:ascii="Arial" w:hAnsi="Arial"/>
          <w:noProof w:val="0"/>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 xml:space="preserve">הדירה הייתה בבעלות סבתם המנוחה של הצדדים ולאחר פטירתה הועברה בירושה לאמם, ובשנת 2008 הוענקו מלוא הזכויות בה ע"י האם לאח ללא תמורה. בפועל נרשמו הזכויות על שם האח בלשכת רישום המקרקעין רק ביום 23.11.2015.   </w:t>
      </w:r>
    </w:p>
    <w:p w:rsidR="00D3423B" w:rsidRDefault="00D3423B" w:rsidP="00D3423B">
      <w:pPr>
        <w:pStyle w:val="a3"/>
        <w:rPr>
          <w:rFonts w:ascii="Arial" w:hAnsi="Arial"/>
          <w:noProof w:val="0"/>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 xml:space="preserve">בשלהי שנת 2018 הגישה האחות תביעה כנגד האח בעניין הדירה. לאחר שבית המשפט הורה לה לתקן את כתב התביעה, עתרה היא במסגרתה לסעד הצהרתי בלבד על פיו היא בעלת מחצית מן הזכויות בדירה  (תמ"ש 33885-12-18). למען הבהירות ובהינתן ההליכים השונים שהתנהלו בעניין הדירה, יקרא הליך זה להלן: </w:t>
      </w:r>
      <w:r>
        <w:rPr>
          <w:rFonts w:ascii="Arial" w:hAnsi="Arial"/>
          <w:b/>
          <w:bCs/>
          <w:noProof w:val="0"/>
          <w:rtl/>
        </w:rPr>
        <w:t>"ההליך הקודם".</w:t>
      </w:r>
      <w:r>
        <w:rPr>
          <w:rFonts w:ascii="Arial" w:hAnsi="Arial"/>
          <w:noProof w:val="0"/>
          <w:rtl/>
        </w:rPr>
        <w:t xml:space="preserve"> </w:t>
      </w:r>
    </w:p>
    <w:p w:rsidR="00D3423B" w:rsidRDefault="00D3423B" w:rsidP="00D3423B">
      <w:pPr>
        <w:pStyle w:val="a3"/>
        <w:rPr>
          <w:rFonts w:ascii="Arial" w:hAnsi="Arial"/>
          <w:noProof w:val="0"/>
        </w:rPr>
      </w:pPr>
    </w:p>
    <w:p w:rsidR="00D3423B" w:rsidRDefault="00D3423B" w:rsidP="00D3423B">
      <w:pPr>
        <w:pStyle w:val="a3"/>
        <w:spacing w:line="360" w:lineRule="auto"/>
        <w:ind w:left="714"/>
        <w:jc w:val="both"/>
        <w:rPr>
          <w:rFonts w:ascii="Arial" w:hAnsi="Arial"/>
          <w:noProof w:val="0"/>
          <w:rtl/>
        </w:rPr>
      </w:pPr>
      <w:r>
        <w:rPr>
          <w:rFonts w:ascii="Arial" w:hAnsi="Arial"/>
          <w:noProof w:val="0"/>
          <w:rtl/>
        </w:rPr>
        <w:t>יוער, כי קדמו לכך שתי תביעות שהוגשו ע"י אם הצדדים כנגד האח לביטול המתנה – האחת נמחקה משלא שולמה האגרה בגינה ואילו השנייה נדחתה בהסכמה.</w:t>
      </w:r>
    </w:p>
    <w:p w:rsidR="00D3423B" w:rsidRDefault="00D3423B" w:rsidP="00D3423B">
      <w:pPr>
        <w:pStyle w:val="a3"/>
        <w:ind w:left="714"/>
        <w:jc w:val="both"/>
        <w:rPr>
          <w:rFonts w:ascii="Arial" w:hAnsi="Arial"/>
          <w:noProof w:val="0"/>
          <w:rtl/>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 xml:space="preserve">לאחר ניהול הוכחות בהליך הקודם, ניתן ביום 20.06.2021 פסק דינו של בית המשפט קמא בגדרו נדחתה תביעת האחות, תוך שנקבע כי טיב העסקה בין האם והאח הוא מתנה בחיוב, על פיו התחייב האח, אגב קבלת המתנה, לשלם לאחות שווי חלקה היחסי בדירה. בפסק הדין נקבעו גם ממצאי מהימנות בהתייחס לגרסות הצדדים, תוך שבית המשפט מצא להעדיף גרסת האח על פני זו של האחות.  </w:t>
      </w:r>
    </w:p>
    <w:p w:rsidR="00D3423B" w:rsidRDefault="00D3423B" w:rsidP="00D3423B">
      <w:pPr>
        <w:pStyle w:val="a3"/>
        <w:spacing w:line="360" w:lineRule="auto"/>
        <w:ind w:left="714"/>
        <w:jc w:val="both"/>
        <w:rPr>
          <w:rFonts w:ascii="Arial" w:hAnsi="Arial"/>
          <w:noProof w:val="0"/>
        </w:rPr>
      </w:pPr>
      <w:r>
        <w:rPr>
          <w:rFonts w:ascii="Arial" w:hAnsi="Arial"/>
          <w:noProof w:val="0"/>
          <w:rtl/>
        </w:rPr>
        <w:t>כן העיר בית המשפט, כי אין בקביעות שבפסק הדין כדי להביע עמדה בהתייחס להתיישנות עילת התביעה הכספית של האחות ואף לא בעניין סיכויי תביעה עתידית שתוגש, ככל שתוגש בעניין הפרת החיוב ע"י האח.</w:t>
      </w:r>
    </w:p>
    <w:p w:rsidR="00D3423B" w:rsidRDefault="00D3423B" w:rsidP="00D3423B">
      <w:pPr>
        <w:pStyle w:val="a3"/>
        <w:spacing w:line="360" w:lineRule="auto"/>
        <w:ind w:left="714"/>
        <w:jc w:val="both"/>
        <w:rPr>
          <w:rFonts w:ascii="Arial" w:hAnsi="Arial"/>
          <w:noProof w:val="0"/>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 xml:space="preserve">האחות הגישה לבית משפט זה ערעור על פסק הדין (עמ"ש 29538-09-21), אשר נדחה ביום 08.12.2021, תוך שנקבע, כי בדין הגיע בית המשפט קמא למסקנה,  שכוונת האם הייתה לשיפוי כספי של האחות ולא להעברה עתידית של מחצית הזכויות בדירה מן האח אליה; וכי אין בפסק הדין בערעור משום הבעת עמדה בעניין סיכויי התביעה הכספית, ככל שתוגש ע"י האחות בעתיד. </w:t>
      </w:r>
    </w:p>
    <w:p w:rsidR="00D3423B" w:rsidRDefault="00D3423B" w:rsidP="00D3423B">
      <w:pPr>
        <w:jc w:val="both"/>
        <w:rPr>
          <w:rFonts w:ascii="Arial" w:hAnsi="Arial"/>
          <w:noProof w:val="0"/>
        </w:rPr>
      </w:pPr>
    </w:p>
    <w:p w:rsidR="00D3423B" w:rsidRDefault="00D3423B" w:rsidP="00D3423B">
      <w:pPr>
        <w:pStyle w:val="a3"/>
        <w:spacing w:line="360" w:lineRule="auto"/>
        <w:ind w:left="714"/>
        <w:jc w:val="both"/>
        <w:rPr>
          <w:rFonts w:ascii="Arial" w:hAnsi="Arial"/>
          <w:noProof w:val="0"/>
        </w:rPr>
      </w:pPr>
      <w:r>
        <w:rPr>
          <w:rFonts w:ascii="Arial" w:hAnsi="Arial"/>
          <w:noProof w:val="0"/>
          <w:rtl/>
        </w:rPr>
        <w:t xml:space="preserve">גם בקשת רשות הערעור על פסק הדין בערעור, אשר הוגשה ע"י האחות, נדחתה ע"י בית המשפט העליון (בע"מ 212/22). </w:t>
      </w:r>
    </w:p>
    <w:p w:rsidR="00D3423B" w:rsidRDefault="00D3423B" w:rsidP="00D3423B">
      <w:pPr>
        <w:pStyle w:val="a3"/>
        <w:rPr>
          <w:rFonts w:ascii="Arial" w:hAnsi="Arial"/>
          <w:noProof w:val="0"/>
        </w:rPr>
      </w:pPr>
    </w:p>
    <w:p w:rsidR="00D3423B" w:rsidRDefault="00D3423B" w:rsidP="00D3423B">
      <w:pPr>
        <w:pStyle w:val="a3"/>
        <w:numPr>
          <w:ilvl w:val="0"/>
          <w:numId w:val="1"/>
        </w:numPr>
        <w:spacing w:line="360" w:lineRule="auto"/>
        <w:ind w:left="714" w:hanging="357"/>
        <w:jc w:val="both"/>
        <w:rPr>
          <w:rFonts w:ascii="Arial" w:hAnsi="Arial"/>
          <w:noProof w:val="0"/>
          <w:rtl/>
        </w:rPr>
      </w:pPr>
      <w:r>
        <w:rPr>
          <w:rFonts w:ascii="Arial" w:hAnsi="Arial"/>
          <w:noProof w:val="0"/>
          <w:rtl/>
        </w:rPr>
        <w:t xml:space="preserve">ביום 24.11.2022 שבה ופנתה האחות לבית המשפט קמא והגישה תביעה כנגד האח שהוכתרה כתביעה כספית, והועמדה על סך 755,000 ₪ ובגדרה עתרה לקבלת תשלום בגין </w:t>
      </w:r>
      <w:r>
        <w:rPr>
          <w:rFonts w:ascii="Arial" w:hAnsi="Arial"/>
          <w:noProof w:val="0"/>
          <w:rtl/>
        </w:rPr>
        <w:lastRenderedPageBreak/>
        <w:t xml:space="preserve">שווי מחצית הזכויות בדירה, נכון לאחד משני מועדים חלופיים בהם נקבה ולתשלום דמי שימוש בגין השימוש שעושה האח בדירה מאז פטירת סבתם ועד למועד הגשת התביעה. </w:t>
      </w:r>
    </w:p>
    <w:p w:rsidR="00D3423B" w:rsidRDefault="00D3423B" w:rsidP="00D3423B">
      <w:pPr>
        <w:pStyle w:val="a3"/>
        <w:spacing w:line="360" w:lineRule="auto"/>
        <w:ind w:left="714"/>
        <w:jc w:val="both"/>
        <w:rPr>
          <w:rFonts w:ascii="Arial" w:hAnsi="Arial"/>
          <w:noProof w:val="0"/>
        </w:rPr>
      </w:pPr>
    </w:p>
    <w:p w:rsidR="00D3423B" w:rsidRDefault="00D3423B" w:rsidP="00D3423B">
      <w:pPr>
        <w:pStyle w:val="a3"/>
        <w:numPr>
          <w:ilvl w:val="0"/>
          <w:numId w:val="1"/>
        </w:numPr>
        <w:spacing w:line="360" w:lineRule="auto"/>
        <w:ind w:left="714" w:hanging="357"/>
        <w:jc w:val="both"/>
        <w:rPr>
          <w:rFonts w:ascii="Arial" w:hAnsi="Arial"/>
          <w:noProof w:val="0"/>
          <w:rtl/>
        </w:rPr>
      </w:pPr>
      <w:r>
        <w:rPr>
          <w:rFonts w:ascii="Arial" w:hAnsi="Arial"/>
          <w:noProof w:val="0"/>
          <w:rtl/>
        </w:rPr>
        <w:t xml:space="preserve">בו ביום הורה בית המשפט לאחות להבהיר פשר הסעד הנתבע על ידה  בהינתן הממצאים בפסק הדין בהליך הקודם.   </w:t>
      </w:r>
    </w:p>
    <w:p w:rsidR="00D3423B" w:rsidRDefault="00D3423B" w:rsidP="00D3423B">
      <w:pPr>
        <w:pStyle w:val="a3"/>
        <w:rPr>
          <w:rFonts w:ascii="Arial" w:hAnsi="Arial"/>
          <w:noProof w:val="0"/>
        </w:rPr>
      </w:pPr>
    </w:p>
    <w:p w:rsidR="00D3423B" w:rsidRDefault="00D3423B" w:rsidP="00D3423B">
      <w:pPr>
        <w:pStyle w:val="a3"/>
        <w:spacing w:line="360" w:lineRule="auto"/>
        <w:ind w:left="714"/>
        <w:jc w:val="both"/>
        <w:rPr>
          <w:rFonts w:ascii="Arial" w:hAnsi="Arial"/>
          <w:noProof w:val="0"/>
          <w:rtl/>
        </w:rPr>
      </w:pPr>
      <w:r>
        <w:rPr>
          <w:rFonts w:ascii="Arial" w:hAnsi="Arial"/>
          <w:noProof w:val="0"/>
          <w:rtl/>
        </w:rPr>
        <w:t xml:space="preserve">האחות פעלה בהתאם והגישה הבהרה מטעמה. האח נתבקש להגיב, ובד בבד עם התגובה מטעמו עתר לסילוק התביעה על הסף מחמת השתק עילה (מיצוי הסעדים בתביעה אחת) , השתק פלוגתא (הכרעה בתביעה הכספית), השתק שיפוטי והתיישנות. </w:t>
      </w:r>
    </w:p>
    <w:p w:rsidR="00D3423B" w:rsidRDefault="00D3423B" w:rsidP="00D3423B">
      <w:pPr>
        <w:pStyle w:val="a3"/>
        <w:rPr>
          <w:rFonts w:ascii="Arial" w:hAnsi="Arial"/>
          <w:noProof w:val="0"/>
          <w:rtl/>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לאחר שנתבקשה לעשות כן, הגישה האחות תגובה לבקשה לסילוק על הסף, וביום 21.06.2023 ניתנה החלטה בבקשה – היא ההחלטה נושא בקשות רשות הערעור שלפנינו.</w:t>
      </w:r>
    </w:p>
    <w:p w:rsidR="00D3423B" w:rsidRDefault="00D3423B" w:rsidP="00D3423B">
      <w:pPr>
        <w:pStyle w:val="a3"/>
        <w:spacing w:line="360" w:lineRule="auto"/>
        <w:ind w:left="714"/>
        <w:jc w:val="both"/>
        <w:rPr>
          <w:rFonts w:ascii="Arial" w:hAnsi="Arial"/>
          <w:noProof w:val="0"/>
        </w:rPr>
      </w:pPr>
    </w:p>
    <w:p w:rsidR="00D3423B" w:rsidRDefault="00D3423B" w:rsidP="00D3423B">
      <w:pPr>
        <w:pStyle w:val="a3"/>
        <w:spacing w:line="360" w:lineRule="auto"/>
        <w:ind w:left="357"/>
        <w:jc w:val="both"/>
        <w:rPr>
          <w:rFonts w:ascii="Arial" w:hAnsi="Arial"/>
          <w:b/>
          <w:bCs/>
          <w:noProof w:val="0"/>
          <w:u w:val="single"/>
        </w:rPr>
      </w:pPr>
      <w:r>
        <w:rPr>
          <w:rFonts w:ascii="Arial" w:hAnsi="Arial"/>
          <w:b/>
          <w:bCs/>
          <w:noProof w:val="0"/>
          <w:u w:val="single"/>
          <w:rtl/>
        </w:rPr>
        <w:t>ההחלטה נושא בקשות רשות הערעור</w:t>
      </w:r>
    </w:p>
    <w:p w:rsidR="00D3423B" w:rsidRDefault="00D3423B" w:rsidP="00D3423B">
      <w:pPr>
        <w:pStyle w:val="a3"/>
        <w:rPr>
          <w:rFonts w:ascii="Arial" w:hAnsi="Arial"/>
          <w:noProof w:val="0"/>
        </w:rPr>
      </w:pPr>
    </w:p>
    <w:p w:rsidR="00D3423B" w:rsidRDefault="00D3423B" w:rsidP="00D3423B">
      <w:pPr>
        <w:pStyle w:val="a3"/>
        <w:numPr>
          <w:ilvl w:val="0"/>
          <w:numId w:val="1"/>
        </w:numPr>
        <w:spacing w:line="360" w:lineRule="auto"/>
        <w:ind w:left="714" w:hanging="357"/>
        <w:jc w:val="both"/>
        <w:rPr>
          <w:rFonts w:ascii="Arial" w:hAnsi="Arial"/>
          <w:noProof w:val="0"/>
          <w:rtl/>
        </w:rPr>
      </w:pPr>
      <w:r>
        <w:rPr>
          <w:rFonts w:ascii="Arial" w:hAnsi="Arial"/>
          <w:noProof w:val="0"/>
          <w:rtl/>
        </w:rPr>
        <w:t>בית המשפט קבע, כי שאלת זכויותיהם של הצדדים בדירה הוכרעה במסגרת ההליך הקודם, ואף נקבע בפסק הדין אשר חתם אותו, כי עילת התביעה של האחות נוצרה במועד בו הועברו זכויותיה של אם הצדדים לאח במתנה.</w:t>
      </w:r>
    </w:p>
    <w:p w:rsidR="00D3423B" w:rsidRDefault="00D3423B" w:rsidP="00D3423B">
      <w:pPr>
        <w:pStyle w:val="a3"/>
        <w:spacing w:line="360" w:lineRule="auto"/>
        <w:ind w:left="714"/>
        <w:jc w:val="both"/>
        <w:rPr>
          <w:rFonts w:ascii="Arial" w:hAnsi="Arial"/>
          <w:noProof w:val="0"/>
        </w:rPr>
      </w:pPr>
    </w:p>
    <w:p w:rsidR="00D3423B" w:rsidRDefault="00D3423B" w:rsidP="00D3423B">
      <w:pPr>
        <w:pStyle w:val="a3"/>
        <w:spacing w:line="360" w:lineRule="auto"/>
        <w:ind w:left="714"/>
        <w:jc w:val="both"/>
        <w:rPr>
          <w:rFonts w:ascii="Arial" w:hAnsi="Arial"/>
          <w:noProof w:val="0"/>
          <w:rtl/>
        </w:rPr>
      </w:pPr>
      <w:r>
        <w:rPr>
          <w:rFonts w:ascii="Arial" w:hAnsi="Arial"/>
          <w:noProof w:val="0"/>
          <w:rtl/>
        </w:rPr>
        <w:t>טענת האח לקיום השתק עילה בהתייחס לתביעה הכספית נדחתה; כן נדחתה טענתו לקיום השתק פלוגתא, שעה ששאלת שוויין של זכויות האחות בדירה לא התבררה וממילא לא הוכרעה עד כה; בנוסף נדחתה טענת האח לקיום השתק שיפוטי, היות שהתביעה הכספית נשענת על ממצאי בית המשפט בהליך הקודם, על אף שהאחות חולקת עליהם.</w:t>
      </w:r>
    </w:p>
    <w:p w:rsidR="00D3423B" w:rsidRDefault="00D3423B" w:rsidP="00D3423B">
      <w:pPr>
        <w:pStyle w:val="a3"/>
        <w:spacing w:line="360" w:lineRule="auto"/>
        <w:ind w:left="714"/>
        <w:jc w:val="both"/>
        <w:rPr>
          <w:rFonts w:ascii="Arial" w:hAnsi="Arial"/>
          <w:noProof w:val="0"/>
          <w:rtl/>
        </w:rPr>
      </w:pPr>
    </w:p>
    <w:p w:rsidR="00D3423B" w:rsidRDefault="00D3423B" w:rsidP="00D3423B">
      <w:pPr>
        <w:pStyle w:val="a3"/>
        <w:spacing w:line="360" w:lineRule="auto"/>
        <w:ind w:left="714"/>
        <w:jc w:val="both"/>
        <w:rPr>
          <w:rFonts w:ascii="Arial" w:hAnsi="Arial"/>
          <w:noProof w:val="0"/>
          <w:rtl/>
        </w:rPr>
      </w:pPr>
      <w:r>
        <w:rPr>
          <w:rFonts w:ascii="Arial" w:hAnsi="Arial"/>
          <w:noProof w:val="0"/>
          <w:rtl/>
        </w:rPr>
        <w:t>לעומת זאת ובכל הנוגע לעתירת האחות לקבלת דמי שימוש  מצא בית המשפט להיעתר לבקשת האח ולדחות רכיב זה שבכתב התביעה מחמת מעשה בית דין, בהינתן כי תביעת האחות לסעד הצהרתי בעניין זכויותיה בדירה נדחתה.</w:t>
      </w:r>
    </w:p>
    <w:p w:rsidR="00D3423B" w:rsidRDefault="00D3423B" w:rsidP="00D3423B">
      <w:pPr>
        <w:pStyle w:val="a3"/>
        <w:spacing w:line="360" w:lineRule="auto"/>
        <w:ind w:left="714"/>
        <w:jc w:val="both"/>
        <w:rPr>
          <w:rFonts w:ascii="Arial" w:hAnsi="Arial"/>
          <w:noProof w:val="0"/>
          <w:rtl/>
        </w:rPr>
      </w:pPr>
    </w:p>
    <w:p w:rsidR="00D3423B" w:rsidRDefault="00D3423B" w:rsidP="00D3423B">
      <w:pPr>
        <w:pStyle w:val="a3"/>
        <w:spacing w:line="360" w:lineRule="auto"/>
        <w:ind w:left="714"/>
        <w:jc w:val="both"/>
        <w:rPr>
          <w:rFonts w:ascii="Arial" w:hAnsi="Arial"/>
          <w:noProof w:val="0"/>
          <w:rtl/>
        </w:rPr>
      </w:pPr>
      <w:r>
        <w:rPr>
          <w:rFonts w:ascii="Arial" w:hAnsi="Arial"/>
          <w:noProof w:val="0"/>
          <w:rtl/>
        </w:rPr>
        <w:t xml:space="preserve">באשר לטענת ההתיישנות – מצא בית המשפט, לפי שעה, לדחותה על מנת ליתן בידי האחות להוכיח טענתה בעניין המועד בו נודעו לה העובדות המקימות עילת התביעה בהתאם להוראת סעיף 8 לחוק ההתיישנות ובכך גם ליתן לה יומה בבית המשפט. </w:t>
      </w:r>
    </w:p>
    <w:p w:rsidR="00D3423B" w:rsidRDefault="00D3423B" w:rsidP="00D3423B">
      <w:pPr>
        <w:pStyle w:val="a3"/>
        <w:spacing w:line="360" w:lineRule="auto"/>
        <w:ind w:left="714"/>
        <w:jc w:val="both"/>
        <w:rPr>
          <w:rFonts w:ascii="Arial" w:hAnsi="Arial"/>
          <w:noProof w:val="0"/>
          <w:rtl/>
        </w:rPr>
      </w:pPr>
      <w:r>
        <w:rPr>
          <w:rFonts w:ascii="Arial" w:hAnsi="Arial"/>
          <w:noProof w:val="0"/>
          <w:rtl/>
        </w:rPr>
        <w:t xml:space="preserve">לצד זאת מצא בית המשפט קמא להבהיר כהאי לישנא:    </w:t>
      </w:r>
    </w:p>
    <w:p w:rsidR="00D3423B" w:rsidRDefault="00D3423B" w:rsidP="00D3423B">
      <w:pPr>
        <w:pStyle w:val="a3"/>
        <w:spacing w:line="360" w:lineRule="auto"/>
        <w:ind w:left="714"/>
        <w:jc w:val="both"/>
        <w:rPr>
          <w:rFonts w:ascii="Arial" w:hAnsi="Arial"/>
          <w:b/>
          <w:bCs/>
          <w:noProof w:val="0"/>
          <w:rtl/>
        </w:rPr>
      </w:pPr>
      <w:r>
        <w:rPr>
          <w:rFonts w:ascii="Arial" w:hAnsi="Arial"/>
          <w:b/>
          <w:bCs/>
          <w:noProof w:val="0"/>
          <w:rtl/>
        </w:rPr>
        <w:t xml:space="preserve">"בעניין זה יובהר פעם נוספת, אין במחלוקת נקודתית זו שנותרה להכרעה כדי לשנות את הקביעה בפסק-הדין כי המועד בו נוצרה לתובעת עילת תביעתה חל בעת כריתת הסכם המתנה בחיוב. </w:t>
      </w:r>
    </w:p>
    <w:p w:rsidR="00D3423B" w:rsidRDefault="00D3423B" w:rsidP="00D3423B">
      <w:pPr>
        <w:pStyle w:val="a3"/>
        <w:spacing w:line="360" w:lineRule="auto"/>
        <w:ind w:left="714"/>
        <w:jc w:val="both"/>
        <w:rPr>
          <w:rFonts w:ascii="Arial" w:hAnsi="Arial"/>
          <w:noProof w:val="0"/>
          <w:rtl/>
        </w:rPr>
      </w:pPr>
      <w:r>
        <w:rPr>
          <w:rFonts w:ascii="Arial" w:hAnsi="Arial"/>
          <w:b/>
          <w:bCs/>
          <w:noProof w:val="0"/>
          <w:rtl/>
        </w:rPr>
        <w:t>כך גם יובהר, כי אפילו תוכיח המשיבה גרסתה על ידיעה מאוחרת אודות הסכם המתנה, אין בכך כדי להכריע בשאלת המועד בו יש להעריך את שווי זכויותיה בדירה"</w:t>
      </w:r>
      <w:r>
        <w:rPr>
          <w:rFonts w:ascii="Arial" w:hAnsi="Arial"/>
          <w:noProof w:val="0"/>
          <w:rtl/>
        </w:rPr>
        <w:t xml:space="preserve">. </w:t>
      </w:r>
    </w:p>
    <w:p w:rsidR="00D3423B" w:rsidRDefault="00D3423B" w:rsidP="00D3423B">
      <w:pPr>
        <w:pStyle w:val="a3"/>
        <w:rPr>
          <w:rFonts w:ascii="Arial" w:hAnsi="Arial"/>
          <w:noProof w:val="0"/>
          <w:rtl/>
        </w:rPr>
      </w:pPr>
    </w:p>
    <w:p w:rsidR="00D3423B" w:rsidRDefault="00D3423B" w:rsidP="00D3423B">
      <w:pPr>
        <w:pStyle w:val="a3"/>
        <w:spacing w:line="360" w:lineRule="auto"/>
        <w:ind w:left="714"/>
        <w:jc w:val="both"/>
        <w:rPr>
          <w:rFonts w:ascii="Arial" w:hAnsi="Arial"/>
          <w:noProof w:val="0"/>
        </w:rPr>
      </w:pPr>
      <w:r>
        <w:rPr>
          <w:rFonts w:ascii="Arial" w:hAnsi="Arial"/>
          <w:noProof w:val="0"/>
          <w:rtl/>
        </w:rPr>
        <w:lastRenderedPageBreak/>
        <w:t xml:space="preserve">במשך חידד בית המשפט וקבע, כי </w:t>
      </w:r>
      <w:r>
        <w:rPr>
          <w:rFonts w:ascii="Arial" w:hAnsi="Arial"/>
          <w:b/>
          <w:bCs/>
          <w:noProof w:val="0"/>
          <w:rtl/>
        </w:rPr>
        <w:t>"השאלה היחידה שנותרה במחלוקת הינה זהות הצד שמנע את קיומו של החיוב, כאשר תחילה יהא על המשיבה לצלוח את טענת ההתיישנות שהעלה המבקש בעניין זה ולהוכיח כי אכן טענותיה חוסות תחת צילה של הוראת סעיף 8 לחוק ההתיישנות"</w:t>
      </w:r>
      <w:r>
        <w:rPr>
          <w:rFonts w:ascii="Arial" w:hAnsi="Arial"/>
          <w:noProof w:val="0"/>
          <w:rtl/>
        </w:rPr>
        <w:t>.</w:t>
      </w:r>
    </w:p>
    <w:p w:rsidR="00D3423B" w:rsidRDefault="00D3423B" w:rsidP="00D3423B">
      <w:pPr>
        <w:pStyle w:val="a3"/>
        <w:ind w:left="714"/>
        <w:jc w:val="both"/>
        <w:rPr>
          <w:rFonts w:ascii="Arial" w:hAnsi="Arial"/>
          <w:noProof w:val="0"/>
          <w:rtl/>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בחלקה האופרטיבי של ההחלטה הורה בית המשפט על תיקון כתב התביעה באופן שיעלה בקנה אחד עם הקביעות בפסק הדין ועם ההחלטה הנדונה תוך חיוב האחות בהוצאות משפט.</w:t>
      </w:r>
    </w:p>
    <w:p w:rsidR="00D3423B" w:rsidRDefault="00D3423B" w:rsidP="00D3423B">
      <w:pPr>
        <w:rPr>
          <w:rFonts w:ascii="Arial" w:hAnsi="Arial"/>
          <w:noProof w:val="0"/>
        </w:rPr>
      </w:pPr>
    </w:p>
    <w:p w:rsidR="00D3423B" w:rsidRDefault="00D3423B" w:rsidP="00D3423B">
      <w:pPr>
        <w:pStyle w:val="a3"/>
        <w:numPr>
          <w:ilvl w:val="0"/>
          <w:numId w:val="1"/>
        </w:numPr>
        <w:spacing w:line="360" w:lineRule="auto"/>
        <w:ind w:left="714" w:hanging="357"/>
        <w:jc w:val="both"/>
        <w:rPr>
          <w:rFonts w:ascii="Arial" w:hAnsi="Arial"/>
          <w:noProof w:val="0"/>
        </w:rPr>
      </w:pPr>
      <w:r>
        <w:rPr>
          <w:rFonts w:ascii="Arial" w:hAnsi="Arial"/>
          <w:noProof w:val="0"/>
          <w:rtl/>
        </w:rPr>
        <w:t xml:space="preserve">כאמור, שני הצדדים לא השלימו עם ההחלטה, וביקשו רשות לערער עליה, ומכאן ההחלטה שלפנינו.   </w:t>
      </w:r>
    </w:p>
    <w:p w:rsidR="00D3423B" w:rsidRDefault="00D3423B" w:rsidP="00D3423B">
      <w:pPr>
        <w:spacing w:line="360" w:lineRule="auto"/>
        <w:jc w:val="both"/>
        <w:rPr>
          <w:rFonts w:ascii="Arial" w:hAnsi="Arial"/>
          <w:noProof w:val="0"/>
          <w:rtl/>
        </w:rPr>
      </w:pPr>
    </w:p>
    <w:p w:rsidR="00D3423B" w:rsidRDefault="00D3423B" w:rsidP="00D3423B">
      <w:pPr>
        <w:rPr>
          <w:rFonts w:ascii="David" w:hAnsi="David"/>
          <w:b/>
          <w:bCs/>
          <w:sz w:val="26"/>
          <w:szCs w:val="26"/>
          <w:u w:val="single"/>
          <w:rtl/>
        </w:rPr>
      </w:pPr>
      <w:r>
        <w:rPr>
          <w:rFonts w:ascii="David" w:hAnsi="David"/>
          <w:b/>
          <w:bCs/>
          <w:sz w:val="26"/>
          <w:szCs w:val="26"/>
          <w:u w:val="single"/>
          <w:rtl/>
        </w:rPr>
        <w:t xml:space="preserve">תמצית טענות הצדדים ברמ"ש 20374-04-23 </w:t>
      </w:r>
    </w:p>
    <w:p w:rsidR="00D3423B" w:rsidRDefault="00D3423B" w:rsidP="00D3423B">
      <w:pPr>
        <w:spacing w:line="360" w:lineRule="auto"/>
        <w:jc w:val="both"/>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tl/>
        </w:rPr>
      </w:pPr>
      <w:r>
        <w:rPr>
          <w:rFonts w:ascii="Arial" w:hAnsi="Arial"/>
          <w:b/>
          <w:bCs/>
          <w:noProof w:val="0"/>
          <w:u w:val="single"/>
          <w:rtl/>
        </w:rPr>
        <w:t>לטענת האח-המבקש</w:t>
      </w:r>
      <w:r>
        <w:rPr>
          <w:rFonts w:ascii="Arial" w:hAnsi="Arial"/>
          <w:noProof w:val="0"/>
          <w:rtl/>
        </w:rPr>
        <w:t xml:space="preserve">, שגה בית המשפט קמא בקביעתו לפיה לא קם השתק עילה כנגד התביעה הכספית, על אף שהתנהלו 5 הליכים קודמים, במסגרתם נדחו כלל טענות האחות, כשבכל אחד מהם נעשה על ידה ניסיון לביצוע מקצה שיפורים בסעדים הנתבעים על ידה ובעילות התביעה עליהן הם מבוססים. לדידו, כל ההליכים הקודמים מבוססים על מסד עובדתי זהה, והמבחן לקיומו של מעשה בית דין הוא זהות העילה ולא זהות הסעד. האחות בחרה תחילה להגיש תביעה כספית ומשהבינה כי היא התיישנה, שינתה גרסתה וטענה לזכויות במקרקעין. משלא נתבע על ידה סעד כספי חלופי,  ומשלא נתבקש וממילא גם לא ניתן היתר לפיצול סעדים, הרי שעילת התביעה מוצתה. האחות מחויבת הייתה, בהתאם להוראות הדין, לאחד בכתב תביעה אחד את כל עילות התביעה כלפיו הנובעות מאותה מסכת עובדתית, ומשלא עשתה כן, היא מנועה מלהגיש התביעה הנוכחית; בהתאם לפסיקת בית המשפט העליון, הכלל בדבר השתק פלוגתא חל גם על טענות שלא נטענו בהליך הראשון וניתן היה להעלותן; האחות קיבלה יומה בבית המשפט; בית המשפט קמא שגה גם בקבעו, כי לא קם השתק פלוגתא בהתייחס להערכת שווי הזכויות בדירה שהאחות זכאית להן, ומשכך היא מנועה מלהגיש תביעה כספית. לדידו, האחות הגישה בעבר, באמצעות אם הצדדים, תביעה כספית שנדחתה, ובהינתן ההלכה כי הדוקטרינה של השתק פלוגתא חלה גם כאשר מדובר במי שהיה שותף להליך הראשון ויש לו זיקה אליו, היה מקום להכילה במקרה דנא; כן נטען על ידו, כי בית המשפט קמא שגה בקבעו, כי לא חל השתק שיפוטי ביחס לעילות התביעה, שעה שבהליך הקודם התנגדה האחות בתוקף לטענה בדבר זכאותה לשווי כספי של זכויותיה בדירה, והיות שההליך הנוכחי מבוסס על טענות עובדתיות בעניין התחייבות האח כלפי האם, הסותרות טענותיה בהליך הקודם; עוד ובנוסף נטען על ידו, כי שגה בית המשפט קמא בקבעו כי דין טענת ההתיישנות להתברר במסגרת ניהול ההליך תחת קבלתה על אתר ודחיית התביעה על הסף. לעניין זה מפנה האח לתשתית הראייתית שהונחה בפני בית המשפט במסגרת ניהול ההליך הקודם ומצביע על העדויות השונות שנשמעו בפניו. לדידו, אין ממש בטענות האחות לפיהן עילת התביעה נולדה כביכול בשנת 2017 ומן הראיות שהוצגו בהליך הקודם עולה כי היא ידעה על החיוב הכספי שלו כלפיה, לכאורה, כבר בשנת 2006. האח מצטט מתוך פסק דינו של בית משפט </w:t>
      </w:r>
      <w:r>
        <w:rPr>
          <w:rFonts w:ascii="Arial" w:hAnsi="Arial"/>
          <w:noProof w:val="0"/>
          <w:rtl/>
        </w:rPr>
        <w:lastRenderedPageBreak/>
        <w:t xml:space="preserve">זה בערעור האחות על פסק הדין בהליך הקודם, המלמד, לשיטתו, על המהלך הטקטי בו היא בחרה לנקוט עת שינתה הסעד הנתבע על ידה בהליך הקודם על מנת לעקוף את טענות ההתיישנות שהועלתה על ידו בנוגע לתביעה הכספית.  </w:t>
      </w:r>
    </w:p>
    <w:p w:rsidR="00D3423B" w:rsidRDefault="00D3423B" w:rsidP="00D3423B">
      <w:pPr>
        <w:pStyle w:val="a3"/>
        <w:spacing w:line="360" w:lineRule="auto"/>
        <w:jc w:val="both"/>
        <w:rPr>
          <w:rFonts w:ascii="Arial" w:hAnsi="Arial"/>
          <w:noProof w:val="0"/>
        </w:rPr>
      </w:pPr>
      <w:r>
        <w:rPr>
          <w:rFonts w:ascii="Arial" w:hAnsi="Arial"/>
          <w:noProof w:val="0"/>
          <w:rtl/>
        </w:rPr>
        <w:t xml:space="preserve">לפיכך סבור האח, שהיה על בית המשפט לדחות על הסף תביעת האחות. </w:t>
      </w:r>
    </w:p>
    <w:p w:rsidR="00D3423B" w:rsidRDefault="00D3423B" w:rsidP="00D3423B">
      <w:pPr>
        <w:pStyle w:val="a3"/>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Pr>
      </w:pPr>
      <w:r>
        <w:rPr>
          <w:rFonts w:ascii="Arial" w:hAnsi="Arial"/>
          <w:b/>
          <w:bCs/>
          <w:noProof w:val="0"/>
          <w:u w:val="single"/>
          <w:rtl/>
        </w:rPr>
        <w:t>מנגד טוענת האחות-המשיבה</w:t>
      </w:r>
      <w:r>
        <w:rPr>
          <w:rFonts w:ascii="Arial" w:hAnsi="Arial"/>
          <w:noProof w:val="0"/>
          <w:rtl/>
        </w:rPr>
        <w:t xml:space="preserve">, כי דין בקשת האח להידחות, הן בפן הפרוצדוראלי, משצורפו לה ראיות שלא צורפו לבקשת האח לסילוק התביעה על הסף שהייתה בפני בית המשפט קמא, והן בפן המהותי ולגוף העניין; לדידה, עניין לנו בבקשת רשות ערעור על החלטת ביניים אשר אין דרכה של ערכאת הערעור להתערב בה, והאח לא הצביע על נסיבות המצדיקות סטייה מכלל זה; לדידה, פסק הדין בהליך הקודם אינו מציב בשום אופן מחסום מפני הגשת תביעה כספית על ידה. לדידה, העילה עליה מבוססת התביעה הנוכחית היא הפרת חוזה, דהיינו הפרת החיוב הצמוד למתנה, אשר לא נדונה וממילא לא הוכרעה במסגרת ההליך הקודם, ומכאן שהדוקטרינה של השתק עילה אינה חלה. אדרבא, שלוש הערכאות שנדרשו לעניינם של הצדדים הבהירו כי לא נסגרה בפניה הדלת מפני הגשת תביעה כספית, להבדיל מן הסעד ההצהרתי שנתבע על ידה, ותביעתה נדחתה, כאמור.  משנתבע על ידה בהליך הקודם סעד הצהרתי, הרי שבהתאם לפסיקה, מעצם טיבו הוא אינו מצריך בקשה לפיצול סעדים; לטענתה, בהתאם למבחנים שגובשו בפסיקה, גם הדוקטרינה של השתק פלוגתא אינה חלה במקרה דנא, בפרט שעה ששאלת שוויין של זכויותיה בדירה לא נדונה ולא הוכרעה בהליך הקודם. בעניין תביעת האם מציינת האחות, כי היא נדחתה בלא שקוים דיון בה לגופו של עניין ובלא שנקבעו ממצאים פוזיטיביים כלשהם; כן טוענת האחות, כי בנסיבות שלפנינו גם לא חל הכלל בדבר השתק שיפוטי, משלא נטענו על ידה טענות הפוכות בכל אחד מן ההליכים הנדונים, ועת ממילא אין המדובר בהליך קודם בו נתקבלו טענותיה העומדות בסתירה לטענותיה בהליך הנוכחי; באשר לטענת ההתיישנות טוענת האחות, כי רק לאחר מתן פסק הדין בהליך הקודם נולדה עילת התביעה הכספית כנגד האח, ומציינת עוד, כי רק בשנת 2017 נודע לה על רישום מלוא הזכויות בדירה על שם האח (משנת 2015), וכי לא נקבעו בפסק הדין בהליך הקודם ממצאים בעניין המועד בו נודע לה על חתימת האם והאח על הסכם המתנה ו/או על העברת הזכויות בדירה מהאם לאח. האחות מבססת טענותיה בעניין זה על הוראות סעיפים 8 ו-9 לחוק ההתיישנות, וטוענת עוד, כי האח פעל מאחורי גבה והסתיר מפניה מעשיו שנועדו לנשלה מזכויותיה בדירה ולגזלן מידיה, ומכל מקום לא הוכח על ידו, כי הוא פנה אליה במועדים הנטענים על ידו והציע לה שווי מחצית הזכויות בדירה; מוסיפה וטוענת האחות, כי בהתאם להלכה הפסוקה סעד של סילוק תביעה על הסף הוא קיצוני ותוצאתו קשה, ולכן יינתן במקרים חריגים ויוצאי דופן בלבד, ונסיבות המקרה דנא אינן מצדיקות סטייה מכלל זה. </w:t>
      </w:r>
    </w:p>
    <w:p w:rsidR="00D3423B" w:rsidRDefault="00D3423B" w:rsidP="00D3423B">
      <w:pPr>
        <w:pStyle w:val="a3"/>
        <w:spacing w:line="360" w:lineRule="auto"/>
        <w:jc w:val="both"/>
        <w:rPr>
          <w:rFonts w:ascii="Arial" w:hAnsi="Arial"/>
          <w:noProof w:val="0"/>
          <w:rtl/>
        </w:rPr>
      </w:pPr>
    </w:p>
    <w:p w:rsidR="00D3423B" w:rsidRDefault="00D3423B" w:rsidP="00D3423B">
      <w:pPr>
        <w:rPr>
          <w:rFonts w:ascii="David" w:hAnsi="David"/>
          <w:b/>
          <w:bCs/>
          <w:sz w:val="26"/>
          <w:szCs w:val="26"/>
          <w:u w:val="single"/>
          <w:rtl/>
        </w:rPr>
      </w:pPr>
      <w:r>
        <w:rPr>
          <w:rFonts w:ascii="David" w:hAnsi="David"/>
          <w:b/>
          <w:bCs/>
          <w:sz w:val="26"/>
          <w:szCs w:val="26"/>
          <w:u w:val="single"/>
          <w:rtl/>
        </w:rPr>
        <w:t xml:space="preserve">תמצית טענות הצדדים ברמ"ש 11960-09-23 </w:t>
      </w:r>
    </w:p>
    <w:p w:rsidR="00D3423B" w:rsidRDefault="00D3423B" w:rsidP="00D3423B">
      <w:pPr>
        <w:pStyle w:val="a3"/>
        <w:spacing w:line="360" w:lineRule="auto"/>
        <w:jc w:val="both"/>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tl/>
        </w:rPr>
      </w:pPr>
      <w:r>
        <w:rPr>
          <w:rFonts w:ascii="Arial" w:hAnsi="Arial"/>
          <w:b/>
          <w:bCs/>
          <w:noProof w:val="0"/>
          <w:u w:val="single"/>
          <w:rtl/>
        </w:rPr>
        <w:t>לטענת האחות-המבקשת</w:t>
      </w:r>
      <w:r>
        <w:rPr>
          <w:rFonts w:ascii="Arial" w:hAnsi="Arial"/>
          <w:noProof w:val="0"/>
          <w:rtl/>
        </w:rPr>
        <w:t xml:space="preserve">, שגה בית המשפט קמא בקבעו, כי בפסק הדין שניתן בהליך הקודם נקבע, כי בעת כריתת הסכם המתנה בחיוב נולדה עילת התביעה שלה, עת לדידה אין כל קביעה כזו בפסק הדין, שהיא הרת גורל מבחינתה, ובכך חרג בית המשפט מסמכותו ועניין לנו בפגם היורד לשורש העניין;  כן נטען על ידה, כי שגה בית המשפט קמא עת השית </w:t>
      </w:r>
      <w:r>
        <w:rPr>
          <w:rFonts w:ascii="Arial" w:hAnsi="Arial"/>
          <w:noProof w:val="0"/>
          <w:rtl/>
        </w:rPr>
        <w:lastRenderedPageBreak/>
        <w:t xml:space="preserve">עליה הוצאות משפט אגב דחיית מרבית טענות האח בבקשה לסילוק על הסף; בית המשפט שגה בהתייחסו במסגרת ההחלטה להוראת סעיף 8 לחוק ההתיישנות בלבד תוך התעלמות מיתר טענותיה בסוגית ההתיישנות (במישור העובדתי ובהתייחס להוראת סעיף 9 לחוק ההתיישנות); בית המשפט שגה גם בקבעו, כי כפוף לקביעה שעילת התביעה אכן לא התיישנה, יש לברר במסגרת ההליך הנוכחי שאלת זהותו של הצד שמנע לאורך השנים קיום החיוב שלצד המתנה. לדידה, אין כל נפקות לשאלה זו משהאח הודה בקיום החיוב ועל שווי זכויותיה להיקבע עפ"י חוות דעת של שמאי מקרקעין נכון למועד הגשת התביעה הנוכחית בצירוף הפרשי הצמדה למדד תשומות הבניה ולא בהתאם לטענות האח בעניין שווי זכויותיה ואף לא בהתאם לשיקול דעת בית המשפט שעה שמדובר בעניין שאינו בתחום הידיעה השיפוטית.  בשולי הבקשה עתרה האחות גם לביטול הקביעה לפיה אין היא זכאית לתבוע מן האח דמי שימוש מחמת מעשה בית דין.  </w:t>
      </w:r>
    </w:p>
    <w:p w:rsidR="00D3423B" w:rsidRDefault="00D3423B" w:rsidP="00D3423B">
      <w:pPr>
        <w:pStyle w:val="a3"/>
        <w:spacing w:line="360" w:lineRule="auto"/>
        <w:jc w:val="both"/>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tl/>
        </w:rPr>
      </w:pPr>
      <w:r>
        <w:rPr>
          <w:rFonts w:ascii="Arial" w:hAnsi="Arial"/>
          <w:b/>
          <w:bCs/>
          <w:noProof w:val="0"/>
          <w:u w:val="single"/>
          <w:rtl/>
        </w:rPr>
        <w:t>מנגד טוען האח-המשיב,</w:t>
      </w:r>
      <w:r>
        <w:rPr>
          <w:rFonts w:ascii="Arial" w:hAnsi="Arial"/>
          <w:noProof w:val="0"/>
          <w:rtl/>
        </w:rPr>
        <w:t xml:space="preserve"> כי דין הבקשה להידחות משאינה אלא ערעור על ממצאים שבפסק דין חלוט, אשר האחות כבר ערערה עליו וערעורה נדחה; האח סוקר את ההליכים הקודמים בעניין הדירה ומציין, כי כולם התנהלו בפני אותו מותב, ולעובדה זו משקל רב, בהינתן שהוא בקי בפרטי הסכסוך ומכיר היטב את כל טענות הצדדים בהליכים השונים ואת כל ההחלטות שניתנו במסגרתם הקשורות בטבורן להליך הנוכחי; באשר לטענות האחות בעניין חיובה בהוצאות משפט – בהתאם לדין ולהלכה הפסוקה אין דרכה של ערכאת הערעור להתערב בסוגיה זו אלא במקרים חריגים וקיצוניים ונסיבות המקרה דנא אינן באות בגדרם; באשר להחלטה בעניין ההתיישנות – אף שלדידו היה מקום לקבל הבקשה לסילוק על הסף מחמת התיישנות נוכח הממצאים בפסק הדין בהליך הקודם, בית המשפט קמא מצא, שיש להכריע בטענת ההתיישנות לאחר שמיעת ראיות והכרעה בשאלה מה קרה מאז נוצרה העילה בהתאם לממצאי פסק הדין בהליך הקודם ועד להגשת התביעה הנוכחית. לדידו, הוא טען להתיישנות תביעת האחות מראשית הדרך (בהליכים הקודמים) לצד ההודאה בזכויותיה הכספיות, ומשכך אין היא יכולה להשליך יהבה על הוראת סעיף 9 לחוק ההתיישנות. בנוסף נטען על ידו, כי עילת התביעה המקורית הייתה כספית ולא קניינית, ולאחר שהאחות הודתה בטענת ההתיישנות, היא שינתה את עילת התביעה שלה, ובעניין זה מפנה לפסק דינו של בית משפט זה בערעור האחות על פסק הדין בהליך הקודם ומצטט מתוכו. לדידו, האחות מציגה פרשנות שגויה להערות שניתנו ע"י הערכאות השונות בעניין עילת התביעה הכספית והתיישנותה; בנוסף טוען האח, כי פשר טענותיה של האחות אינו נהיר, לרבות בעניין חוות דעת השמאי. כן לא ברור פשר צירוף חוות הדעת לכתבי בי- הדין שלה תוך סטייה מסדרי הדין הנוהגים בבתי המשפט לענייני משפחה; באשר להוראה לתיקון כתב התביעה טוען האח, כי היא מצויה בבסיס שיקול הדעת של הערכאה הדיונית, אשר לא בנקל ערכאת הערעור תתערב בה, על אחת כמה וכמה משמדובר במותב אשר דן והכריע בכל ההליכים הקודמים בין הצדדים ומכיר טענותיהם כדבעי. </w:t>
      </w:r>
    </w:p>
    <w:p w:rsidR="00D3423B" w:rsidRDefault="00D3423B" w:rsidP="00D3423B">
      <w:pPr>
        <w:pStyle w:val="a3"/>
        <w:jc w:val="both"/>
        <w:rPr>
          <w:rFonts w:ascii="Arial" w:hAnsi="Arial"/>
          <w:noProof w:val="0"/>
          <w:rtl/>
        </w:rPr>
      </w:pPr>
    </w:p>
    <w:p w:rsidR="00D3423B" w:rsidRDefault="00D3423B" w:rsidP="00D3423B">
      <w:pPr>
        <w:rPr>
          <w:rFonts w:ascii="David" w:hAnsi="David"/>
          <w:b/>
          <w:bCs/>
          <w:sz w:val="26"/>
          <w:szCs w:val="26"/>
          <w:u w:val="single"/>
        </w:rPr>
      </w:pPr>
      <w:r>
        <w:rPr>
          <w:rFonts w:ascii="David" w:hAnsi="David"/>
          <w:b/>
          <w:bCs/>
          <w:sz w:val="26"/>
          <w:szCs w:val="26"/>
          <w:u w:val="single"/>
          <w:rtl/>
        </w:rPr>
        <w:t>דיון והכרעה</w:t>
      </w:r>
    </w:p>
    <w:p w:rsidR="00D3423B" w:rsidRDefault="00D3423B" w:rsidP="00D3423B">
      <w:pPr>
        <w:jc w:val="both"/>
        <w:rPr>
          <w:rFonts w:ascii="Arial" w:hAnsi="Arial"/>
          <w:noProof w:val="0"/>
          <w:rtl/>
        </w:rPr>
      </w:pPr>
    </w:p>
    <w:p w:rsidR="00D3423B" w:rsidRDefault="00D3423B" w:rsidP="00D3423B">
      <w:pPr>
        <w:pStyle w:val="a3"/>
        <w:numPr>
          <w:ilvl w:val="0"/>
          <w:numId w:val="1"/>
        </w:numPr>
        <w:spacing w:line="360" w:lineRule="auto"/>
        <w:jc w:val="both"/>
        <w:rPr>
          <w:rFonts w:ascii="Arial" w:hAnsi="Arial"/>
          <w:b/>
          <w:bCs/>
          <w:noProof w:val="0"/>
          <w:rtl/>
        </w:rPr>
      </w:pPr>
      <w:r>
        <w:rPr>
          <w:rFonts w:ascii="Arial" w:hAnsi="Arial"/>
          <w:b/>
          <w:bCs/>
          <w:noProof w:val="0"/>
          <w:rtl/>
        </w:rPr>
        <w:t xml:space="preserve">לאחר עיון באשר מונח לפניי, בתיק המתנהל בבית המשפט קמא ובתיקים הקודמים שנוהלו בפניו, ועל יסוד תקנה 138(א)(5), 149(2)(א), ותקנות משנה 146(א)(2) -146(א)(5) </w:t>
      </w:r>
      <w:r>
        <w:rPr>
          <w:rFonts w:ascii="Arial" w:hAnsi="Arial"/>
          <w:b/>
          <w:bCs/>
          <w:noProof w:val="0"/>
          <w:rtl/>
        </w:rPr>
        <w:lastRenderedPageBreak/>
        <w:t xml:space="preserve">לתקנות סדר הדין האזרחי, התשע"ט-2018 מצאתי, מהנימוקים שיובאו להלן, לדחות הבקשות, למעט בעניינים הקונקרטיים שיפורטו להלן. </w:t>
      </w:r>
    </w:p>
    <w:p w:rsidR="00D3423B" w:rsidRDefault="00D3423B" w:rsidP="00D3423B">
      <w:pPr>
        <w:pStyle w:val="a3"/>
        <w:jc w:val="both"/>
        <w:rPr>
          <w:rFonts w:ascii="Arial" w:hAnsi="Arial"/>
          <w:b/>
          <w:bCs/>
          <w:noProof w:val="0"/>
          <w:rtl/>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כידוע, בלב הדיון שלפנינו החלטה בבקשה לסילוק על הסף.</w:t>
      </w:r>
    </w:p>
    <w:p w:rsidR="00D3423B" w:rsidRDefault="00D3423B" w:rsidP="00D3423B">
      <w:pPr>
        <w:pStyle w:val="a3"/>
        <w:rPr>
          <w:rFonts w:ascii="Arial" w:hAnsi="Arial"/>
          <w:noProof w:val="0"/>
        </w:rPr>
      </w:pPr>
    </w:p>
    <w:p w:rsidR="00D3423B" w:rsidRDefault="00D3423B" w:rsidP="00D3423B">
      <w:pPr>
        <w:pStyle w:val="a3"/>
        <w:spacing w:line="360" w:lineRule="auto"/>
        <w:jc w:val="both"/>
        <w:rPr>
          <w:rFonts w:ascii="Arial" w:hAnsi="Arial"/>
          <w:noProof w:val="0"/>
          <w:rtl/>
        </w:rPr>
      </w:pPr>
      <w:r>
        <w:rPr>
          <w:rFonts w:ascii="Arial" w:hAnsi="Arial"/>
          <w:noProof w:val="0"/>
          <w:rtl/>
        </w:rPr>
        <w:t xml:space="preserve">נפתח ונציין מושכלות יסוד, לפיהן סילוק תביעה על הסף הוא אמצעי דרסטי אשר יינקט בזהירות ובמשורה, במקרים חריגים ויוצאי דופן, כאשר אין אפשרות, אף לא קלושה, כי התובע יזכה בסופו של ההליך בסעד המבוקש על ידו. אין צורך להכביר מילים בדבר, אך נפקות צעד זה של סילוק תביעה על הסף ידועה וברורה – נעילת דלתות בית המשפט בפני בעל הדין ופגיעה בזכות הגישה לערכאות, אשר הוכרה כזכות יסוד בדין הישראלי. </w:t>
      </w:r>
    </w:p>
    <w:p w:rsidR="00D3423B" w:rsidRDefault="00D3423B" w:rsidP="00D3423B">
      <w:pPr>
        <w:pStyle w:val="a3"/>
        <w:spacing w:before="120" w:line="360" w:lineRule="auto"/>
        <w:jc w:val="both"/>
        <w:rPr>
          <w:rFonts w:ascii="Arial" w:hAnsi="Arial"/>
          <w:noProof w:val="0"/>
        </w:rPr>
      </w:pPr>
    </w:p>
    <w:p w:rsidR="00D3423B" w:rsidRDefault="00D3423B" w:rsidP="00D3423B">
      <w:pPr>
        <w:pStyle w:val="a3"/>
        <w:spacing w:before="120" w:line="360" w:lineRule="auto"/>
        <w:jc w:val="both"/>
        <w:rPr>
          <w:rFonts w:ascii="Arial" w:hAnsi="Arial"/>
          <w:noProof w:val="0"/>
          <w:rtl/>
        </w:rPr>
      </w:pPr>
      <w:r>
        <w:rPr>
          <w:rFonts w:ascii="Arial" w:hAnsi="Arial"/>
          <w:noProof w:val="0"/>
          <w:rtl/>
        </w:rPr>
        <w:t xml:space="preserve">לכן גם נקבע בפסיקה, כי כאשר נדרש בירור עובדתי לשם הכרעה בבקשה לסילוק על הסף, לרוב יצדיק הדבר דחיית הבקשה והמשך בירורה במסגרת ההליך גופו [ראו למשל: רע"א 7473/14 </w:t>
      </w:r>
      <w:r>
        <w:rPr>
          <w:rFonts w:ascii="Arial" w:hAnsi="Arial"/>
          <w:b/>
          <w:bCs/>
          <w:noProof w:val="0"/>
          <w:rtl/>
        </w:rPr>
        <w:t xml:space="preserve">עלומים, קבוצת בני עקיבא להתיישבות חקלאית שיתופית בע"מ נ' זרובבלי, </w:t>
      </w:r>
      <w:r>
        <w:rPr>
          <w:rFonts w:ascii="Arial" w:hAnsi="Arial"/>
          <w:noProof w:val="0"/>
          <w:rtl/>
        </w:rPr>
        <w:t xml:space="preserve">פורסם במאגרים האלקטרוניים; רע"א 6938/19 </w:t>
      </w:r>
      <w:r>
        <w:rPr>
          <w:rFonts w:ascii="Arial" w:hAnsi="Arial"/>
          <w:b/>
          <w:bCs/>
          <w:noProof w:val="0"/>
          <w:rtl/>
        </w:rPr>
        <w:t xml:space="preserve">דני אילני נ' פייר ברוך, </w:t>
      </w:r>
      <w:r>
        <w:rPr>
          <w:rFonts w:ascii="Arial" w:hAnsi="Arial"/>
          <w:noProof w:val="0"/>
          <w:rtl/>
        </w:rPr>
        <w:t xml:space="preserve">פורסם במאגרים האלקטרוניים; רע"א 2306/20 </w:t>
      </w:r>
      <w:r>
        <w:rPr>
          <w:rFonts w:ascii="Arial" w:hAnsi="Arial"/>
          <w:b/>
          <w:bCs/>
          <w:noProof w:val="0"/>
          <w:rtl/>
        </w:rPr>
        <w:t xml:space="preserve">סער נ' י. שומרוני – חברה לבניין ופיתוח (2002) בע"מ, </w:t>
      </w:r>
      <w:r>
        <w:rPr>
          <w:rFonts w:ascii="Arial" w:hAnsi="Arial"/>
          <w:noProof w:val="0"/>
          <w:rtl/>
        </w:rPr>
        <w:t xml:space="preserve">פורסם במאגרים האלקטרוניים].  </w:t>
      </w:r>
    </w:p>
    <w:p w:rsidR="00D3423B" w:rsidRDefault="00D3423B" w:rsidP="00D3423B">
      <w:pPr>
        <w:pStyle w:val="a3"/>
        <w:spacing w:before="120" w:line="360" w:lineRule="auto"/>
        <w:jc w:val="both"/>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 xml:space="preserve">בהתבסס על האמור ובהינתן הנפקות המצומצמת יחסית של החלטה הדוחה בקשה לסילוק על הסף, הלכה ונשתרשה בפסיקה מגמת אי התערבות של ערכאת הערעור בהחלטות ממין אלו, והלכה פסוקה היא, כי התערבותה מצומצמת למקרים חריגים ונדירים כגון כאשר נפלה טעות מהותית בהחלטת הערכאה הדיונית, כאשר ניהול ההליך ישפיע באופן בלתי הפיך על זכויות הצדדים או כאשר מתעורר חשש ממשי מפני ניהול הליך סרק שכרוך בהשקעת משאבים רבים [ראו למשל: רע"א 4792/17 </w:t>
      </w:r>
      <w:r>
        <w:rPr>
          <w:rFonts w:ascii="Arial" w:hAnsi="Arial"/>
          <w:b/>
          <w:bCs/>
          <w:noProof w:val="0"/>
          <w:rtl/>
        </w:rPr>
        <w:t>לוי נ' אברג'יל ואח'</w:t>
      </w:r>
      <w:r>
        <w:rPr>
          <w:rFonts w:ascii="Arial" w:hAnsi="Arial"/>
          <w:noProof w:val="0"/>
          <w:rtl/>
        </w:rPr>
        <w:t xml:space="preserve">, פורסם במאגרים האלקטרוניים; רע"א 3910/19 </w:t>
      </w:r>
      <w:r>
        <w:rPr>
          <w:rFonts w:ascii="Arial" w:hAnsi="Arial"/>
          <w:b/>
          <w:bCs/>
          <w:noProof w:val="0"/>
          <w:rtl/>
        </w:rPr>
        <w:t xml:space="preserve">ש. ח פארק פיתוח וגינון (1986) בע"מ נ' עיריית מעלות, </w:t>
      </w:r>
      <w:r>
        <w:rPr>
          <w:rFonts w:ascii="Arial" w:hAnsi="Arial"/>
          <w:noProof w:val="0"/>
          <w:rtl/>
        </w:rPr>
        <w:t xml:space="preserve">פורסם במאגרים האלקטרוניים; רע"א 3744/20 </w:t>
      </w:r>
      <w:r>
        <w:rPr>
          <w:rFonts w:ascii="Arial" w:hAnsi="Arial"/>
          <w:b/>
          <w:bCs/>
          <w:noProof w:val="0"/>
          <w:rtl/>
        </w:rPr>
        <w:t xml:space="preserve">י.ו טירת הכרמל בע"מ נ' חלבי, </w:t>
      </w:r>
      <w:r>
        <w:rPr>
          <w:rFonts w:ascii="Arial" w:hAnsi="Arial"/>
          <w:noProof w:val="0"/>
          <w:rtl/>
        </w:rPr>
        <w:t xml:space="preserve">פורסם במאגרים האלקטרוניים]. </w:t>
      </w:r>
    </w:p>
    <w:p w:rsidR="00D3423B" w:rsidRDefault="00D3423B" w:rsidP="00D3423B">
      <w:pPr>
        <w:pStyle w:val="a3"/>
        <w:rPr>
          <w:rFonts w:ascii="Arial" w:hAnsi="Arial"/>
          <w:noProof w:val="0"/>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בענייננו, נדחו טענות האח לסילוק על הסף של תביעת האחות בכל הנוגע לזכויותיה הכספיות בדירה, אולם התקבלו בכל הנוגע לעתירתה לדמי שימוש.</w:t>
      </w:r>
    </w:p>
    <w:p w:rsidR="00D3423B" w:rsidRDefault="00D3423B" w:rsidP="00D3423B">
      <w:pPr>
        <w:pStyle w:val="a3"/>
        <w:rPr>
          <w:rFonts w:ascii="Arial" w:hAnsi="Arial"/>
          <w:noProof w:val="0"/>
        </w:rPr>
      </w:pPr>
    </w:p>
    <w:p w:rsidR="00D3423B" w:rsidRDefault="00D3423B" w:rsidP="00D3423B">
      <w:pPr>
        <w:pStyle w:val="a3"/>
        <w:numPr>
          <w:ilvl w:val="0"/>
          <w:numId w:val="1"/>
        </w:numPr>
        <w:spacing w:line="360" w:lineRule="auto"/>
        <w:jc w:val="both"/>
        <w:rPr>
          <w:rFonts w:ascii="Arial" w:hAnsi="Arial"/>
          <w:noProof w:val="0"/>
          <w:rtl/>
        </w:rPr>
      </w:pPr>
      <w:r>
        <w:rPr>
          <w:rFonts w:ascii="Arial" w:hAnsi="Arial"/>
          <w:noProof w:val="0"/>
          <w:rtl/>
        </w:rPr>
        <w:t xml:space="preserve">בבקשת רשות הערעור שלה האחות אינה תוקפת למעשה ההחלטה בעניין תביעתה לדמי שימוש, ולמעט אזכור הדבר בשולי הבקשה אגב פירוט עתירותיה, לא נטען על ידה דבר בהקשר זה לגוף העניין. </w:t>
      </w:r>
    </w:p>
    <w:p w:rsidR="00D3423B" w:rsidRDefault="00D3423B" w:rsidP="00D3423B">
      <w:pPr>
        <w:pStyle w:val="a3"/>
        <w:rPr>
          <w:rFonts w:ascii="Arial" w:hAnsi="Arial"/>
          <w:noProof w:val="0"/>
        </w:rPr>
      </w:pPr>
      <w:r>
        <w:rPr>
          <w:rFonts w:ascii="Arial" w:hAnsi="Arial"/>
          <w:noProof w:val="0"/>
          <w:rtl/>
        </w:rPr>
        <w:t xml:space="preserve">די בכך כדי לקבוע, שאין מאחורי עתירה זו ולא כלום. </w:t>
      </w:r>
    </w:p>
    <w:p w:rsidR="00D3423B" w:rsidRDefault="00D3423B" w:rsidP="00D3423B">
      <w:pPr>
        <w:pStyle w:val="a3"/>
        <w:spacing w:line="360" w:lineRule="auto"/>
        <w:jc w:val="both"/>
        <w:rPr>
          <w:rFonts w:ascii="Arial" w:hAnsi="Arial"/>
          <w:noProof w:val="0"/>
          <w:rtl/>
        </w:rPr>
      </w:pPr>
    </w:p>
    <w:p w:rsidR="00D3423B" w:rsidRDefault="00D3423B" w:rsidP="00D3423B">
      <w:pPr>
        <w:pStyle w:val="a3"/>
        <w:spacing w:line="360" w:lineRule="auto"/>
        <w:jc w:val="both"/>
        <w:rPr>
          <w:rFonts w:ascii="Arial" w:hAnsi="Arial"/>
          <w:noProof w:val="0"/>
          <w:rtl/>
        </w:rPr>
      </w:pPr>
      <w:r>
        <w:rPr>
          <w:rFonts w:ascii="Arial" w:hAnsi="Arial"/>
          <w:noProof w:val="0"/>
          <w:rtl/>
        </w:rPr>
        <w:t xml:space="preserve">מעבר לכך וגם לגופו של עניין, מבלי להרחיב היריעה יתר על המידה, שעה שכאמור ממילא לא נטען ע"י האח דבר כנגד קביעה זו של בית המשפט קמא יצוין רק, </w:t>
      </w:r>
      <w:r>
        <w:rPr>
          <w:rFonts w:ascii="Arial" w:hAnsi="Arial"/>
          <w:rtl/>
        </w:rPr>
        <w:t xml:space="preserve">כי הזכות לקבלת דמי שימוש מעוגנת בסעיף 33 לחוק המקרקעין, תשכ"ט - 1969, והיא נתונה לשותף במקרקעין. במקרה דנא משתוצאת ההליך הקודם (החלוטה) היא, שהאחות נעדרת זכויות קנייניות </w:t>
      </w:r>
      <w:r>
        <w:rPr>
          <w:rFonts w:ascii="Arial" w:hAnsi="Arial"/>
          <w:rtl/>
        </w:rPr>
        <w:lastRenderedPageBreak/>
        <w:t xml:space="preserve">בדירה, ולא מתקיימים בינה ובין האח יחסי שותפות </w:t>
      </w:r>
      <w:r>
        <w:rPr>
          <w:rFonts w:ascii="Arial" w:hAnsi="Arial"/>
          <w:noProof w:val="0"/>
          <w:rtl/>
        </w:rPr>
        <w:t xml:space="preserve">בהן, הרי שאין היא זכאית לדמי שימוש. </w:t>
      </w:r>
    </w:p>
    <w:p w:rsidR="00D3423B" w:rsidRDefault="00D3423B" w:rsidP="00D3423B">
      <w:pPr>
        <w:pStyle w:val="a3"/>
        <w:spacing w:line="360" w:lineRule="auto"/>
        <w:jc w:val="both"/>
        <w:rPr>
          <w:rFonts w:ascii="Arial" w:hAnsi="Arial"/>
          <w:noProof w:val="0"/>
          <w:rtl/>
        </w:rPr>
      </w:pPr>
      <w:r>
        <w:rPr>
          <w:rFonts w:ascii="Arial" w:hAnsi="Arial"/>
          <w:noProof w:val="0"/>
          <w:rtl/>
        </w:rPr>
        <w:t xml:space="preserve"> </w:t>
      </w:r>
    </w:p>
    <w:p w:rsidR="00D3423B" w:rsidRDefault="00D3423B" w:rsidP="00D3423B">
      <w:pPr>
        <w:pStyle w:val="a3"/>
        <w:numPr>
          <w:ilvl w:val="0"/>
          <w:numId w:val="1"/>
        </w:numPr>
        <w:spacing w:line="360" w:lineRule="auto"/>
        <w:jc w:val="both"/>
        <w:rPr>
          <w:rFonts w:ascii="Arial" w:hAnsi="Arial"/>
          <w:noProof w:val="0"/>
          <w:rtl/>
        </w:rPr>
      </w:pPr>
      <w:r>
        <w:rPr>
          <w:rFonts w:ascii="Arial" w:hAnsi="Arial"/>
          <w:noProof w:val="0"/>
          <w:rtl/>
        </w:rPr>
        <w:t xml:space="preserve">באשר לתביעת האחות בעניין זכויותיה הכספיות בדירה ומבלי להביע עמדה בנוגע לסיכוייה, לא מצאתי, כי המקרה דנן בא בגדר אותם מקרים חריגים שפסיקת בית המשפט העליון מדברת בהם, המצדיקים התערבות ערכאת הערעור בהחלטה הדוחה בקשת האח לסילוק התביעה על הסף. </w:t>
      </w:r>
    </w:p>
    <w:p w:rsidR="00D3423B" w:rsidRDefault="00D3423B" w:rsidP="00D3423B">
      <w:pPr>
        <w:pStyle w:val="a3"/>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Pr>
      </w:pPr>
      <w:r>
        <w:rPr>
          <w:rtl/>
        </w:rPr>
        <w:t xml:space="preserve">האח הפליג בטיעוניו בעניין זה ואליבא דידו ניצב בפני האחות מחסום דיוני המונע ממנה הגשת התביעה הכספית מחמת מעשה בית דין על שני נדביו העיקריים – השתק עילה והשתק פלוגתא, מחמת השתק שיפוטי ומחמת התיישנות עילת התביעה שלה. </w:t>
      </w:r>
    </w:p>
    <w:p w:rsidR="00D3423B" w:rsidRDefault="00D3423B" w:rsidP="00D3423B">
      <w:pPr>
        <w:pStyle w:val="a3"/>
      </w:pPr>
    </w:p>
    <w:p w:rsidR="00D3423B" w:rsidRDefault="00D3423B" w:rsidP="00D3423B">
      <w:pPr>
        <w:pStyle w:val="a3"/>
        <w:numPr>
          <w:ilvl w:val="0"/>
          <w:numId w:val="1"/>
        </w:numPr>
        <w:spacing w:line="360" w:lineRule="auto"/>
        <w:jc w:val="both"/>
        <w:rPr>
          <w:rFonts w:ascii="Arial" w:hAnsi="Arial"/>
          <w:noProof w:val="0"/>
          <w:rtl/>
        </w:rPr>
      </w:pPr>
      <w:r>
        <w:rPr>
          <w:rtl/>
        </w:rPr>
        <w:t>לא מצאתי, כי יצאה שגגה תחת ידי בית המשפט בדחותו איזו מטענות הסף של האח.</w:t>
      </w:r>
    </w:p>
    <w:p w:rsidR="00D3423B" w:rsidRDefault="00D3423B" w:rsidP="00D3423B">
      <w:pPr>
        <w:pStyle w:val="a3"/>
      </w:pPr>
    </w:p>
    <w:p w:rsidR="00D3423B" w:rsidRDefault="00D3423B" w:rsidP="00D3423B">
      <w:pPr>
        <w:pStyle w:val="a3"/>
        <w:spacing w:line="360" w:lineRule="auto"/>
        <w:jc w:val="both"/>
        <w:rPr>
          <w:rFonts w:ascii="Arial" w:hAnsi="Arial"/>
          <w:noProof w:val="0"/>
          <w:rtl/>
        </w:rPr>
      </w:pPr>
      <w:r>
        <w:rPr>
          <w:rtl/>
        </w:rPr>
        <w:t xml:space="preserve">בכל הנוגע לתחולת הדוקטרינה של מעשה בית דין </w:t>
      </w:r>
      <w:r>
        <w:rPr>
          <w:rFonts w:ascii="Arial" w:hAnsi="Arial"/>
          <w:noProof w:val="0"/>
          <w:rtl/>
        </w:rPr>
        <w:t xml:space="preserve">– חרף ניסיון האח לבסס הטיעון לפיו נסיבות המקרה דנא מצדיקות מתן פרשנות רחבה לכללים שהותוו בפסיקה בעניין השתק עילה והשתק פלוגתא, לא מצאתי לקבלו. </w:t>
      </w:r>
    </w:p>
    <w:p w:rsidR="00D3423B" w:rsidRDefault="00D3423B" w:rsidP="00D3423B">
      <w:pPr>
        <w:pStyle w:val="a3"/>
        <w:spacing w:line="360" w:lineRule="auto"/>
        <w:jc w:val="both"/>
        <w:rPr>
          <w:rFonts w:ascii="Arial" w:hAnsi="Arial"/>
          <w:noProof w:val="0"/>
          <w:rtl/>
        </w:rPr>
      </w:pPr>
      <w:r>
        <w:rPr>
          <w:rFonts w:ascii="Arial" w:hAnsi="Arial"/>
          <w:noProof w:val="0"/>
          <w:rtl/>
        </w:rPr>
        <w:t xml:space="preserve">ראשית נזכיר, כי שעה שעניין לנו בסעד של סילוק על הסף, על כל המשתמע מכך וצוין לעיל, ממילא יש לנקוט משנה זהירות טרם בחירה בפרשנות רחבה לדוקטרינה של מעשה בית דין, אשר תוצאתה היא, כידוע, חריצת גורל התובנה בעודה באיבה.  </w:t>
      </w:r>
    </w:p>
    <w:p w:rsidR="00D3423B" w:rsidRDefault="00D3423B" w:rsidP="00D3423B">
      <w:pPr>
        <w:pStyle w:val="a3"/>
        <w:spacing w:line="360" w:lineRule="auto"/>
        <w:jc w:val="both"/>
        <w:rPr>
          <w:rFonts w:ascii="Arial" w:hAnsi="Arial"/>
          <w:noProof w:val="0"/>
          <w:rtl/>
        </w:rPr>
      </w:pPr>
    </w:p>
    <w:p w:rsidR="00D3423B" w:rsidRDefault="00D3423B" w:rsidP="00D3423B">
      <w:pPr>
        <w:pStyle w:val="a3"/>
        <w:spacing w:line="360" w:lineRule="auto"/>
        <w:jc w:val="both"/>
        <w:rPr>
          <w:rFonts w:ascii="Arial" w:hAnsi="Arial"/>
          <w:noProof w:val="0"/>
          <w:rtl/>
        </w:rPr>
      </w:pPr>
      <w:r>
        <w:rPr>
          <w:rFonts w:ascii="Arial" w:hAnsi="Arial"/>
          <w:noProof w:val="0"/>
          <w:rtl/>
        </w:rPr>
        <w:t>במקרה דנא מבקש האח מבית המשפט ליתן פרשנות רחבה, תוך התבוננות במהות והסתמכות על התשתית הראייתית שהוצגה בפניו בהליך הקודם לשני הכללים – הן השתק העילה והן השתק הפלוגתא, שהרי זולת הסעדים השונים שנתבעו בכל אחד מן ההליכים, אין זהות בין בעלי הדין בהליך הנוכחי ובין בעלי הדין בתביעה שהגישה האם כנגד האח; אין זהות בעילת התביעה, עת בהליך הקודם נטען, כי נכרת בין הצדדים חוזה בעניין השותפות הקניינית בדירה, ואילו בהליך הנוכחי נטען להפרת החיוב הצמוד למתנה ע"י האח ומשכך נתבעת אכיפתו; כפועל יוצא מכך גם הפלוגתאות אינן זהות, בין אם בפן המשפטי ובין אם בפן העובדתי; בית המשפט לא בירר טענות הצדדים בעניין הפרת החיוב וממילא לא הכריע בשאלה זו.</w:t>
      </w:r>
    </w:p>
    <w:p w:rsidR="00D3423B" w:rsidRDefault="00D3423B" w:rsidP="00D3423B">
      <w:pPr>
        <w:pStyle w:val="a3"/>
        <w:spacing w:line="360" w:lineRule="auto"/>
        <w:jc w:val="both"/>
        <w:rPr>
          <w:rFonts w:ascii="Arial" w:hAnsi="Arial"/>
          <w:noProof w:val="0"/>
          <w:rtl/>
        </w:rPr>
      </w:pPr>
      <w:r>
        <w:rPr>
          <w:rFonts w:ascii="Arial" w:hAnsi="Arial"/>
          <w:noProof w:val="0"/>
          <w:rtl/>
        </w:rPr>
        <w:t>אכן, הפסיקה נכונה הייתה במקרים מסוימים להגמיש את הכללים, אך הליכה בתלם שהאח מבקש לחרוש, לפיו יש לקבץ במקרה דנא כלל ההרחבות והפיתוחים שנתגבשו בפסיקה ביחס לכל אחד מענפי הדוקטרינה של מעשה בית דין היא מרחיקת לכת ואינה מוצדקת.</w:t>
      </w:r>
    </w:p>
    <w:p w:rsidR="00D3423B" w:rsidRDefault="00D3423B" w:rsidP="00D3423B">
      <w:pPr>
        <w:pStyle w:val="a3"/>
        <w:spacing w:line="360" w:lineRule="auto"/>
        <w:jc w:val="both"/>
        <w:rPr>
          <w:rtl/>
        </w:rPr>
      </w:pPr>
      <w:r>
        <w:rPr>
          <w:rFonts w:ascii="Arial" w:hAnsi="Arial"/>
          <w:noProof w:val="0"/>
          <w:rtl/>
        </w:rPr>
        <w:t xml:space="preserve">צא ולמד, כי גם אם טענות האח אינן מופרכות וניתן למצוא זיקה של ממש בין איזה מן ההליכים הקודמים ובין ההליך הנוכחי, עדיין קיים מרחק רב בין הנחה או נקודת מוצא זו ובין המסקנה, כי נוצר מעשה בית דין.  </w:t>
      </w:r>
    </w:p>
    <w:p w:rsidR="00D3423B" w:rsidRDefault="00D3423B" w:rsidP="00D3423B">
      <w:pPr>
        <w:pStyle w:val="a3"/>
        <w:spacing w:line="360" w:lineRule="auto"/>
        <w:jc w:val="both"/>
        <w:rPr>
          <w:rtl/>
        </w:rPr>
      </w:pPr>
    </w:p>
    <w:p w:rsidR="00D3423B" w:rsidRDefault="00D3423B" w:rsidP="00D3423B">
      <w:pPr>
        <w:pStyle w:val="a3"/>
        <w:spacing w:line="360" w:lineRule="auto"/>
        <w:jc w:val="both"/>
        <w:rPr>
          <w:rFonts w:ascii="Arial" w:hAnsi="Arial"/>
          <w:noProof w:val="0"/>
          <w:rtl/>
        </w:rPr>
      </w:pPr>
      <w:r>
        <w:rPr>
          <w:rFonts w:ascii="Arial" w:hAnsi="Arial"/>
          <w:noProof w:val="0"/>
          <w:rtl/>
        </w:rPr>
        <w:t xml:space="preserve">הוא הדין גם בהתייחס לדוקטרינת ההשתק השיפוטי. </w:t>
      </w:r>
    </w:p>
    <w:p w:rsidR="00D3423B" w:rsidRDefault="00D3423B" w:rsidP="00D3423B">
      <w:pPr>
        <w:pStyle w:val="a3"/>
        <w:spacing w:line="360" w:lineRule="auto"/>
        <w:jc w:val="both"/>
        <w:rPr>
          <w:rFonts w:ascii="Arial" w:hAnsi="Arial"/>
          <w:noProof w:val="0"/>
        </w:rPr>
      </w:pPr>
      <w:r>
        <w:rPr>
          <w:rFonts w:ascii="Arial" w:hAnsi="Arial"/>
          <w:noProof w:val="0"/>
          <w:rtl/>
        </w:rPr>
        <w:lastRenderedPageBreak/>
        <w:t xml:space="preserve">אמנם בבקשה לסילוק על הסף טענה זו הוזכרה על ידו, אם כי באופן לקוני, ואילו בבקשת רשות הערעור נטענו על ידו בהקשר זה טענות נוספות שלא היו בפני הערכאה הדיונית, ודי בכך כדי לדחות הטענה. </w:t>
      </w:r>
    </w:p>
    <w:p w:rsidR="00D3423B" w:rsidRDefault="00D3423B" w:rsidP="00D3423B">
      <w:pPr>
        <w:pStyle w:val="a3"/>
        <w:spacing w:line="360" w:lineRule="auto"/>
        <w:jc w:val="both"/>
        <w:rPr>
          <w:rFonts w:ascii="Arial" w:hAnsi="Arial"/>
          <w:noProof w:val="0"/>
          <w:rtl/>
        </w:rPr>
      </w:pPr>
      <w:r>
        <w:rPr>
          <w:rFonts w:ascii="Arial" w:hAnsi="Arial"/>
          <w:noProof w:val="0"/>
          <w:rtl/>
        </w:rPr>
        <w:t xml:space="preserve">למעלה מן הצורך יאמר, כי לא מצאתי, לפחות בשלב בו מצוי ההליך בבית המשפט קמא,  שנסיבות המקרה דנא מבססות הכלל שנתגבש בפסיקה בדבר השתק שיפוטי.  </w:t>
      </w:r>
    </w:p>
    <w:p w:rsidR="00D3423B" w:rsidRDefault="00D3423B" w:rsidP="00D3423B">
      <w:pPr>
        <w:pStyle w:val="a3"/>
        <w:spacing w:line="360" w:lineRule="auto"/>
        <w:jc w:val="both"/>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Pr>
      </w:pPr>
      <w:r>
        <w:rPr>
          <w:rtl/>
        </w:rPr>
        <w:t>באשר לטענת ההתיישנות שהיא לב לבה של ההחלטה, ראוי להבהיר תחילה העובדות שאינן שנויות במחלוקת: נכרת הסכם מתנה בחיוב בין אם הצדדים והאח על פיו נרשמו על שמו מלוא הזכויות בדירה. יוער, כי  על אף שלכתבי הטענות של הצדדים צורפו נספחים רבים המונים מאות עמודים(!!!)</w:t>
      </w:r>
      <w:r>
        <w:rPr>
          <w:rFonts w:ascii="Arial" w:hAnsi="Arial"/>
          <w:noProof w:val="0"/>
          <w:rtl/>
        </w:rPr>
        <w:t>, איש מהם לא צרף את הסכם המתנה; החיוב שבצדו – תשלום שווי חלקה היחסי של האחות בדירה; התשלום הכספי לאחות לא בוצע.</w:t>
      </w:r>
    </w:p>
    <w:p w:rsidR="00D3423B" w:rsidRDefault="00D3423B" w:rsidP="00D3423B">
      <w:pPr>
        <w:pStyle w:val="a3"/>
        <w:spacing w:line="360" w:lineRule="auto"/>
        <w:jc w:val="both"/>
        <w:rPr>
          <w:rFonts w:ascii="Arial" w:hAnsi="Arial"/>
          <w:noProof w:val="0"/>
        </w:rPr>
      </w:pPr>
      <w:r>
        <w:rPr>
          <w:rFonts w:ascii="Arial" w:hAnsi="Arial"/>
          <w:noProof w:val="0"/>
          <w:rtl/>
        </w:rPr>
        <w:t xml:space="preserve"> </w:t>
      </w: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 xml:space="preserve">כאמור, בית המשפט קמא מצא, כי לצורך ההכרעה בטענת ההתיישנות נדרש בירור עובדתי בין השאר בשאלת המועד בו נודעו לאחות העובדות המקימות עילת התביעה ותחולת ההוראה הקבועה בסעיף 8 לחוק ההתיישנות, תשי"ח-1958, וקבע עוד, כי ככל שיעלה בידי האחות לצלוח משוכה זו, תתברר שאלת האחריות לאי קיום החיוב הצמוד למתנה. </w:t>
      </w:r>
    </w:p>
    <w:p w:rsidR="00D3423B" w:rsidRDefault="00D3423B" w:rsidP="00D3423B">
      <w:pPr>
        <w:pStyle w:val="a3"/>
        <w:rPr>
          <w:rFonts w:ascii="Arial" w:hAnsi="Arial"/>
          <w:noProof w:val="0"/>
        </w:rPr>
      </w:pPr>
    </w:p>
    <w:p w:rsidR="00D3423B" w:rsidRDefault="00D3423B" w:rsidP="00D3423B">
      <w:pPr>
        <w:pStyle w:val="a3"/>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tl/>
        </w:rPr>
      </w:pPr>
      <w:r>
        <w:rPr>
          <w:rFonts w:ascii="Arial" w:hAnsi="Arial"/>
          <w:noProof w:val="0"/>
          <w:rtl/>
        </w:rPr>
        <w:t>עוד הובהר על ידו, כי אין בהחלטה זו כדי לשנות הקביעה בפסק הדין על פיה מועד הולדתה של עילת התביעה הוא בעת כריתת הסכם המתנה בחיוב. האחות משיגה על קביעה זו.</w:t>
      </w:r>
    </w:p>
    <w:p w:rsidR="00D3423B" w:rsidRDefault="00D3423B" w:rsidP="00D3423B">
      <w:pPr>
        <w:pStyle w:val="a3"/>
        <w:rPr>
          <w:rFonts w:ascii="Arial" w:hAnsi="Arial"/>
          <w:noProof w:val="0"/>
        </w:rPr>
      </w:pPr>
    </w:p>
    <w:p w:rsidR="00D3423B" w:rsidRDefault="00D3423B" w:rsidP="00D3423B">
      <w:pPr>
        <w:pStyle w:val="a3"/>
        <w:spacing w:line="360" w:lineRule="auto"/>
        <w:jc w:val="both"/>
        <w:rPr>
          <w:rFonts w:ascii="Arial" w:hAnsi="Arial"/>
          <w:noProof w:val="0"/>
          <w:rtl/>
        </w:rPr>
      </w:pPr>
      <w:r>
        <w:rPr>
          <w:rFonts w:ascii="Arial" w:hAnsi="Arial"/>
          <w:noProof w:val="0"/>
          <w:rtl/>
        </w:rPr>
        <w:t xml:space="preserve">אכן, הדבר לא נקבע מפורשות בפסק הדין בהליך הקודם, אם כי משתמע מתוך הממצאים והמסקנות שנקבעו בגדרו. </w:t>
      </w:r>
    </w:p>
    <w:p w:rsidR="00D3423B" w:rsidRDefault="00D3423B" w:rsidP="00D3423B">
      <w:pPr>
        <w:pStyle w:val="a3"/>
        <w:spacing w:line="360" w:lineRule="auto"/>
        <w:jc w:val="both"/>
        <w:rPr>
          <w:rFonts w:ascii="Arial" w:hAnsi="Arial"/>
          <w:noProof w:val="0"/>
          <w:rtl/>
        </w:rPr>
      </w:pPr>
      <w:r>
        <w:rPr>
          <w:rFonts w:ascii="Arial" w:hAnsi="Arial"/>
          <w:noProof w:val="0"/>
          <w:rtl/>
        </w:rPr>
        <w:t>ודוק, משנקבע בהליך הקודם, כי לאח הוענקה ע"י אם הצדדים מתנה בחיוב – דהיינו תשלום שווי חלקה היחסי של האחות בדירה, נראה, על פניו, כי מקופלת בקביעה זו ההנחה שעילת התביעה – הזכות לקבלת החלק היחסי בשווי הדירה נולדה עם כריתת הסכם המתנה, אך הדבר אינו חד משמעי ואף אינו מדויק.</w:t>
      </w:r>
    </w:p>
    <w:p w:rsidR="00D3423B" w:rsidRDefault="00D3423B" w:rsidP="00D3423B">
      <w:pPr>
        <w:pStyle w:val="a3"/>
        <w:spacing w:line="360" w:lineRule="auto"/>
        <w:jc w:val="both"/>
        <w:rPr>
          <w:rFonts w:ascii="Arial" w:hAnsi="Arial"/>
          <w:noProof w:val="0"/>
          <w:rtl/>
        </w:rPr>
      </w:pPr>
    </w:p>
    <w:p w:rsidR="00D3423B" w:rsidRDefault="00D3423B" w:rsidP="0053516F">
      <w:pPr>
        <w:pStyle w:val="a3"/>
        <w:spacing w:line="360" w:lineRule="auto"/>
        <w:jc w:val="both"/>
        <w:rPr>
          <w:rFonts w:ascii="Arial" w:hAnsi="Arial"/>
          <w:noProof w:val="0"/>
          <w:rtl/>
        </w:rPr>
      </w:pPr>
      <w:r>
        <w:rPr>
          <w:rFonts w:ascii="Arial" w:hAnsi="Arial"/>
          <w:noProof w:val="0"/>
          <w:rtl/>
        </w:rPr>
        <w:t xml:space="preserve">בית המשפט העליון עמד על כך, שחוק ההתיישנות כמו דברי חקיקה אחרים אינם מגדירים המונח "עילה" או מהו יום היוולדה, ועל כך שהמונח "עילה" מקבל משמעויות שונות בהקשרים שונים, כאשר אחת הנפוצות בהן היא "מערכת העובדות המזכות בסעד משפטי". עם זאת בנדון דידן הפרשנות הרווחת בהתייחס למועד בו נולדה עילת התביעה הוא היום שבו יכול היה התובע, באופן עקרוני, להגיש תביעה ולזכות בפסק דין על סמך העובדות המהותיות שפורטו בה (ראו והשוו: ע"א 1737/15 </w:t>
      </w:r>
      <w:r>
        <w:rPr>
          <w:rFonts w:ascii="Arial" w:hAnsi="Arial"/>
          <w:b/>
          <w:bCs/>
          <w:noProof w:val="0"/>
          <w:rtl/>
        </w:rPr>
        <w:t xml:space="preserve">מגדל סיני בע"מ נ' בנק לאומי לישראל בע"מ, </w:t>
      </w:r>
      <w:r>
        <w:rPr>
          <w:rFonts w:ascii="Arial" w:hAnsi="Arial"/>
          <w:noProof w:val="0"/>
          <w:rtl/>
        </w:rPr>
        <w:t xml:space="preserve">פורסם במאגרים האלקטרוניים; ע"א 2462/97 </w:t>
      </w:r>
      <w:r>
        <w:rPr>
          <w:rFonts w:ascii="Arial" w:hAnsi="Arial"/>
          <w:b/>
          <w:bCs/>
          <w:noProof w:val="0"/>
          <w:rtl/>
        </w:rPr>
        <w:t xml:space="preserve">הפועלים ליסינג בע"מ נ' טיפול שורש, ניהול ושירותים, </w:t>
      </w:r>
      <w:r>
        <w:rPr>
          <w:rFonts w:ascii="Arial" w:hAnsi="Arial"/>
          <w:noProof w:val="0"/>
          <w:rtl/>
        </w:rPr>
        <w:t xml:space="preserve">פ"ד נד(1)529 ועוד).   </w:t>
      </w:r>
    </w:p>
    <w:p w:rsidR="00D3423B" w:rsidRDefault="00D3423B" w:rsidP="00D3423B">
      <w:pPr>
        <w:pStyle w:val="a3"/>
        <w:spacing w:line="360" w:lineRule="auto"/>
        <w:jc w:val="both"/>
        <w:rPr>
          <w:rFonts w:ascii="David" w:hAnsi="David"/>
          <w:color w:val="000000"/>
          <w:shd w:val="clear" w:color="auto" w:fill="FFFFFF"/>
          <w:rtl/>
        </w:rPr>
      </w:pP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t xml:space="preserve">כידוע, הכלל הקבוע בסעיף 6 לחוק ההתיישנות הוא, כידוע, שתקופת ההתיישנות מתחילה ביום היוולדה של עילת התובענה. </w:t>
      </w: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lastRenderedPageBreak/>
        <w:t>לצד זאת, חוק ההתיישנות מונה קשת מצבים ואפשרויות אשר בכוחם להשפיע על מרוץ תקופת ההתיישנות, דהיינו להשעותה, להאריכה או לדחות מועד תחילת המרוץ.</w:t>
      </w: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t xml:space="preserve">כך, למשל, גם בהוראת סעיף  8 לחוק שהוזכר לעיל.   </w:t>
      </w: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t xml:space="preserve"> </w:t>
      </w: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t>היות שברובד העובדתי ממילא הצדדים חלוקים בעניין מועד היוודע דבר המתנה לאחות ורישום הזכויות בדירה על שם האח, ועניין זה טעון הכרעה,  שאלת מועד הולדתה של עילת התביעה אינה קרדינלית.</w:t>
      </w: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t xml:space="preserve">עם זאת והיות שאין חולק, כי עילת התביעה הכספית היא חוזית, ולית מאן דפליג כי הסכם המתנה כלל לא הוצג בהליך הקודם (ראו סעיף 23 לפסק הדין בהליך הקודם), הרי לכל הפחות יש לברר המועד שנקבע לקיום החיוב לצורך בחינת הטענה בדבר הפרתו, והכרעה בה, ואין די בקביעה שנכרת הסכם, והנחה אקסיומטית, כי מועד כריתתו הוא מועד הולדת העילה המבוססת על טענה להפרתו. </w:t>
      </w:r>
    </w:p>
    <w:p w:rsidR="00D3423B" w:rsidRDefault="00D3423B" w:rsidP="00D3423B">
      <w:pPr>
        <w:pStyle w:val="a3"/>
        <w:spacing w:line="360" w:lineRule="auto"/>
        <w:jc w:val="both"/>
        <w:rPr>
          <w:rFonts w:ascii="David" w:hAnsi="David"/>
          <w:color w:val="000000"/>
          <w:shd w:val="clear" w:color="auto" w:fill="FFFFFF"/>
          <w:rtl/>
        </w:rPr>
      </w:pP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t xml:space="preserve">מבלי להביע עמדה או לטעת מסמרות יוער, כי פשר טענת האחות לפיה עילת התביעה נולדה עם מתן פסק הדין בהליך הקודם אינו מתיישב עם השתלשלות העניינים בהליכים הקודמים, ובתוך כך גם כתב התביעה המקורי שהוגש על ידה בהליך הקודם, ואף לא עם הערת בית משפט זה בפסק הדין שניתן בערעורה כהאי לישנא: </w:t>
      </w:r>
      <w:r>
        <w:rPr>
          <w:rFonts w:ascii="David" w:hAnsi="David"/>
          <w:b/>
          <w:bCs/>
          <w:color w:val="000000"/>
          <w:shd w:val="clear" w:color="auto" w:fill="FFFFFF"/>
          <w:rtl/>
        </w:rPr>
        <w:t>"בעיקרו של דבר, נזכיר שבתחילת הדרך המערערת אכן תבעה את הכספים שלשיטתה מגיעים לה מהמשיב, בגין שווי מחצית הזכויות בדירה, ושינתה את עילת תביעתה לתביעה קניינית לרישום מחצית הזכויות על שמה, רק לשלב מאוחר יותר, וכאשר ניתן היה להבין שסיבת הדבר היא שיקול טקטי כדי להדוף טענת ההתיישנות שהעלה המשיב כלפי התובענה הכספית".</w:t>
      </w:r>
      <w:r>
        <w:rPr>
          <w:rFonts w:ascii="David" w:hAnsi="David"/>
          <w:color w:val="000000"/>
          <w:shd w:val="clear" w:color="auto" w:fill="FFFFFF"/>
          <w:rtl/>
        </w:rPr>
        <w:t xml:space="preserve">  </w:t>
      </w:r>
    </w:p>
    <w:p w:rsidR="00D3423B" w:rsidRDefault="00D3423B" w:rsidP="00D3423B">
      <w:pPr>
        <w:pStyle w:val="a3"/>
        <w:spacing w:line="360" w:lineRule="auto"/>
        <w:jc w:val="both"/>
        <w:rPr>
          <w:rFonts w:ascii="David" w:hAnsi="David"/>
          <w:color w:val="000000"/>
          <w:shd w:val="clear" w:color="auto" w:fill="FFFFFF"/>
          <w:rtl/>
        </w:rPr>
      </w:pPr>
    </w:p>
    <w:p w:rsidR="00D3423B" w:rsidRDefault="00D3423B" w:rsidP="00D3423B">
      <w:pPr>
        <w:pStyle w:val="a3"/>
        <w:numPr>
          <w:ilvl w:val="0"/>
          <w:numId w:val="1"/>
        </w:numPr>
        <w:spacing w:line="360" w:lineRule="auto"/>
        <w:jc w:val="both"/>
        <w:rPr>
          <w:rFonts w:ascii="David" w:hAnsi="David"/>
          <w:color w:val="000000"/>
          <w:shd w:val="clear" w:color="auto" w:fill="FFFFFF"/>
          <w:rtl/>
        </w:rPr>
      </w:pPr>
      <w:r>
        <w:rPr>
          <w:rFonts w:ascii="David" w:hAnsi="David"/>
          <w:color w:val="000000"/>
          <w:shd w:val="clear" w:color="auto" w:fill="FFFFFF"/>
          <w:rtl/>
        </w:rPr>
        <w:t xml:space="preserve">כך או כך, ושעה שאחד המאפייניהם הידועים של דיני ההתיישנות בשיטתנו הוא היותם כלי מגן ולא חרב, </w:t>
      </w:r>
      <w:r>
        <w:rPr>
          <w:rFonts w:ascii="Arial" w:hAnsi="Arial"/>
          <w:noProof w:val="0"/>
          <w:rtl/>
        </w:rPr>
        <w:t xml:space="preserve">ולמרות היסטוריית ההתדיינות בין הצדדים, בשים לב לאופי שנושאות טענות הצדדים כמשתקף בבירור גם מכתבי הטענות שהונחו לפניי, עת נראה כי ההכרעה בשאלת ההתיישנות טעונה בירור עובדתי, החופף באופן חלקי, לפחות, לבירור שיידרש אגב הדיון בתביעה גופה, </w:t>
      </w:r>
      <w:r>
        <w:rPr>
          <w:rFonts w:ascii="David" w:hAnsi="David"/>
          <w:color w:val="000000"/>
          <w:shd w:val="clear" w:color="auto" w:fill="FFFFFF"/>
          <w:rtl/>
        </w:rPr>
        <w:t>בדין ובצדק נקבע, כי יש לבררה ולהכריע בה בהמשך ההליך ולא בשלב המקדמי שלו.</w:t>
      </w:r>
    </w:p>
    <w:p w:rsidR="00D3423B" w:rsidRDefault="00D3423B" w:rsidP="00D3423B">
      <w:pPr>
        <w:pStyle w:val="a3"/>
        <w:spacing w:line="360" w:lineRule="auto"/>
        <w:jc w:val="both"/>
        <w:rPr>
          <w:rFonts w:ascii="David" w:hAnsi="David"/>
          <w:color w:val="000000"/>
          <w:shd w:val="clear" w:color="auto" w:fill="FFFFFF"/>
        </w:rPr>
      </w:pPr>
    </w:p>
    <w:p w:rsidR="00D3423B" w:rsidRDefault="00D3423B" w:rsidP="00D3423B">
      <w:pPr>
        <w:pStyle w:val="a3"/>
        <w:spacing w:line="360" w:lineRule="auto"/>
        <w:jc w:val="both"/>
        <w:rPr>
          <w:rFonts w:ascii="David" w:hAnsi="David"/>
          <w:color w:val="000000"/>
          <w:shd w:val="clear" w:color="auto" w:fill="FFFFFF"/>
          <w:rtl/>
        </w:rPr>
      </w:pPr>
      <w:r>
        <w:rPr>
          <w:rFonts w:ascii="David" w:hAnsi="David"/>
          <w:color w:val="000000"/>
          <w:shd w:val="clear" w:color="auto" w:fill="FFFFFF"/>
          <w:rtl/>
        </w:rPr>
        <w:t xml:space="preserve">מכל מקום, לערכאה הדיונית מסור שיקול הדעת לקבוע היקף הבירור הנדרש ולתחום גזרת הדיון בהליך שלפניו אגב הידרשותו לטענת ההתיישנות ככל שמצא, כי יש לבררה בהמשך ההליך ולא בשלב מקדמי שלו (ראו והשוו: רע"א 6552/20 </w:t>
      </w:r>
      <w:r>
        <w:rPr>
          <w:rFonts w:ascii="David" w:hAnsi="David"/>
          <w:b/>
          <w:bCs/>
          <w:color w:val="000000"/>
          <w:shd w:val="clear" w:color="auto" w:fill="FFFFFF"/>
          <w:rtl/>
        </w:rPr>
        <w:t xml:space="preserve">בנק דיסקונט לישראל בע"מ נ' א. לוי השקעות ובניין בע"מ, </w:t>
      </w:r>
      <w:r>
        <w:rPr>
          <w:rFonts w:ascii="David" w:hAnsi="David"/>
          <w:color w:val="000000"/>
          <w:shd w:val="clear" w:color="auto" w:fill="FFFFFF"/>
          <w:rtl/>
        </w:rPr>
        <w:t xml:space="preserve">פורסם במאגרים האלקטרוניים והפסיקה המוזכרת שם), וכאמור – ככלל אין מקום להתערבות בו מצד ערכאת הערעור.  </w:t>
      </w:r>
    </w:p>
    <w:p w:rsidR="00D3423B" w:rsidRDefault="00D3423B" w:rsidP="00D3423B">
      <w:pPr>
        <w:pStyle w:val="a3"/>
        <w:spacing w:line="360" w:lineRule="auto"/>
        <w:jc w:val="both"/>
        <w:rPr>
          <w:rFonts w:ascii="David" w:hAnsi="David"/>
          <w:color w:val="000000"/>
          <w:shd w:val="clear" w:color="auto" w:fill="FFFFFF"/>
          <w:rtl/>
        </w:rPr>
      </w:pPr>
    </w:p>
    <w:p w:rsidR="00D3423B" w:rsidRDefault="00D3423B" w:rsidP="00D3423B">
      <w:pPr>
        <w:pStyle w:val="a3"/>
        <w:numPr>
          <w:ilvl w:val="0"/>
          <w:numId w:val="1"/>
        </w:numPr>
        <w:spacing w:line="360" w:lineRule="auto"/>
        <w:jc w:val="both"/>
        <w:rPr>
          <w:rFonts w:ascii="Arial" w:hAnsi="Arial"/>
          <w:noProof w:val="0"/>
          <w:rtl/>
        </w:rPr>
      </w:pPr>
      <w:r>
        <w:rPr>
          <w:rtl/>
        </w:rPr>
        <w:t xml:space="preserve">הנה כי כן, כשעל אחת מכפות המאזניים האינטרס של חסכון בהליכים מיותרים, על כל הכרוך בכך ועל האחרת כיבוד זכות הגישה לערכאות ובירור טענות אשר טרם נדונו, נראה, וזאת מבלי לטעת מסמרות או להביע עמדה בהתייחס לאיזו מטענות הצדדים, כי ידה של זכות הגישה לערכאות גוברת. </w:t>
      </w:r>
    </w:p>
    <w:p w:rsidR="00D3423B" w:rsidRDefault="00D3423B" w:rsidP="00D3423B">
      <w:pPr>
        <w:pStyle w:val="a3"/>
        <w:spacing w:line="360" w:lineRule="auto"/>
        <w:jc w:val="both"/>
      </w:pPr>
      <w:r>
        <w:rPr>
          <w:rtl/>
        </w:rPr>
        <w:lastRenderedPageBreak/>
        <w:t xml:space="preserve">כך או כך, לא נראה כי דחיית הבקשה לסילוק על הסף תשפיע באופן ממשי על זכויות הצדדים או תגרום למי מהם נזק של ממש שאינו ניתן לפיצוי בדמות פסיקת הוצאות או כל סעד אחר (ראו: רע"א 8946/12 </w:t>
      </w:r>
      <w:r>
        <w:rPr>
          <w:b/>
          <w:bCs/>
          <w:rtl/>
        </w:rPr>
        <w:t>חברת נמל חיפה נ' בתי זיקוק נפט בע"מ</w:t>
      </w:r>
      <w:r>
        <w:rPr>
          <w:rtl/>
        </w:rPr>
        <w:t>, פורסם במאגרים האלקטרוניים).</w:t>
      </w:r>
    </w:p>
    <w:p w:rsidR="00D3423B" w:rsidRDefault="00D3423B" w:rsidP="00D3423B">
      <w:pPr>
        <w:pStyle w:val="a3"/>
        <w:spacing w:line="360" w:lineRule="auto"/>
        <w:jc w:val="both"/>
        <w:rPr>
          <w:rFonts w:ascii="Arial" w:hAnsi="Arial"/>
          <w:noProof w:val="0"/>
          <w:rtl/>
        </w:rPr>
      </w:pPr>
      <w:r>
        <w:rPr>
          <w:rtl/>
        </w:rPr>
        <w:t xml:space="preserve">מכל מקום עניין לנו, כידוע, בהחלטת ביניים, אשר ממילא ובהתאם לדין הישראלי, לא בנקל ערכאת הערעור תתערב בה, היות שדינה ככלל להתברר במסגרת ערעור על פסק הדין שינתן, ככל שמי מהצדדים יבקש לערער עליו [ראו: סעיף 52(ב) לחוק בתי המשפט, התשמ"ד-1984; רע"א 1665/15 </w:t>
      </w:r>
      <w:r>
        <w:rPr>
          <w:b/>
          <w:bCs/>
          <w:rtl/>
        </w:rPr>
        <w:t>אטיאס נ' רוסו</w:t>
      </w:r>
      <w:r>
        <w:rPr>
          <w:rtl/>
        </w:rPr>
        <w:t xml:space="preserve">, פורסם במאגרים האלקטרוניים; רע"א 6830/15 </w:t>
      </w:r>
      <w:r>
        <w:rPr>
          <w:b/>
          <w:bCs/>
          <w:rtl/>
        </w:rPr>
        <w:t>פלוני נ' פלונית</w:t>
      </w:r>
      <w:r>
        <w:rPr>
          <w:rtl/>
        </w:rPr>
        <w:t xml:space="preserve">, פורסם במאגרים האלקטרוניים].     </w:t>
      </w:r>
    </w:p>
    <w:p w:rsidR="00D3423B" w:rsidRDefault="00D3423B" w:rsidP="00D3423B">
      <w:pPr>
        <w:pStyle w:val="a3"/>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העולה מן המקובץ, הוא אפוא, כי דין טענות האח בכל הנוגע לדחייה של בירור טענת ההתיישנות להמשך ניהול ההליך ואי הכרעה בה בשלב המקדמי להידחות.</w:t>
      </w:r>
    </w:p>
    <w:p w:rsidR="00D3423B" w:rsidRDefault="00D3423B" w:rsidP="00D3423B">
      <w:pPr>
        <w:pStyle w:val="a3"/>
        <w:spacing w:line="360" w:lineRule="auto"/>
        <w:jc w:val="both"/>
        <w:rPr>
          <w:rFonts w:ascii="Arial" w:hAnsi="Arial"/>
          <w:noProof w:val="0"/>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 xml:space="preserve">עם זאת מצאתי, וזאת מבלי לטעת מסמרות, להביע עמדה או להתערב בשיקול הדעת של הערכאה הדיונית ולמען יעילות הדיון בתובענה, שיתקיים לפניה, בפרט בשים לב להיקף ולמשך ההתדיינות בין הצדדים, כי ככל שהאחות תצלח את משוכת ההתיישנות באשר הוגדרה ע"י בית המשפט קמא, תוך שעליו להידרש ולהכריע גם בעניין מועד הולדתה של עילת התביעה באופן שיקבע על ידו, אין להגביל הצדדים בטיעוניהם בשאלת המועד הקובע לעניין הערכת שווי זכויותיה בדירה, לגביה לא נקבעו ממצאים בהליך הקודם. </w:t>
      </w:r>
    </w:p>
    <w:p w:rsidR="00D3423B" w:rsidRDefault="00D3423B" w:rsidP="00D3423B">
      <w:pPr>
        <w:pStyle w:val="a3"/>
        <w:spacing w:before="120" w:line="360" w:lineRule="auto"/>
        <w:jc w:val="both"/>
        <w:rPr>
          <w:rFonts w:ascii="Arial" w:hAnsi="Arial"/>
          <w:noProof w:val="0"/>
        </w:rPr>
      </w:pPr>
    </w:p>
    <w:p w:rsidR="00D3423B" w:rsidRDefault="00D3423B" w:rsidP="00D3423B">
      <w:pPr>
        <w:pStyle w:val="a3"/>
        <w:spacing w:before="120" w:line="360" w:lineRule="auto"/>
        <w:jc w:val="both"/>
        <w:rPr>
          <w:rFonts w:ascii="Arial" w:hAnsi="Arial"/>
          <w:noProof w:val="0"/>
          <w:rtl/>
        </w:rPr>
      </w:pPr>
      <w:r>
        <w:rPr>
          <w:rFonts w:ascii="Arial" w:hAnsi="Arial"/>
          <w:noProof w:val="0"/>
          <w:rtl/>
        </w:rPr>
        <w:t xml:space="preserve">בהקשר זה יובהר, כי אכן, טענות האחות בעניין אופן הערכת השווי אינן נהירות. יש להבחין בין שני מישורים: המהותי והטכני. כאמור, בהתאם לגדרי הדיון ששורטטו ע"י בית המשפט קמא, על האחות לצלוח משוכת ההתיישנות, וככל שהדבר יעלה בידה, תתברר שאלת האחריות לאי קיום החיוב הצמוד למתנה, תוך התייחסות גם למועד שנקבע לקיומו- זהו המישור המהותי. </w:t>
      </w:r>
    </w:p>
    <w:p w:rsidR="00D3423B" w:rsidRDefault="00D3423B" w:rsidP="00D3423B">
      <w:pPr>
        <w:pStyle w:val="a3"/>
        <w:spacing w:before="120" w:line="360" w:lineRule="auto"/>
        <w:jc w:val="both"/>
        <w:rPr>
          <w:rFonts w:ascii="Arial" w:hAnsi="Arial"/>
          <w:noProof w:val="0"/>
          <w:rtl/>
        </w:rPr>
      </w:pPr>
      <w:r>
        <w:rPr>
          <w:rFonts w:ascii="Arial" w:hAnsi="Arial"/>
          <w:noProof w:val="0"/>
          <w:rtl/>
        </w:rPr>
        <w:t xml:space="preserve">ככל שיקבע ע"י בית המשפט, כי האחות זכאית לסעד כספי ולתשלום מידי האח, יהא עליו לקבוע גם את גובהו והדיון בעניין זה נטוע במישור הטכני. </w:t>
      </w:r>
    </w:p>
    <w:p w:rsidR="00D3423B" w:rsidRDefault="00D3423B" w:rsidP="00D3423B">
      <w:pPr>
        <w:pStyle w:val="a3"/>
        <w:spacing w:before="120" w:line="360" w:lineRule="auto"/>
        <w:jc w:val="both"/>
        <w:rPr>
          <w:rFonts w:ascii="Arial" w:hAnsi="Arial"/>
          <w:noProof w:val="0"/>
          <w:rtl/>
        </w:rPr>
      </w:pPr>
      <w:r>
        <w:rPr>
          <w:rFonts w:ascii="Arial" w:hAnsi="Arial"/>
          <w:noProof w:val="0"/>
          <w:rtl/>
        </w:rPr>
        <w:t xml:space="preserve">החקיקה הרלוונטית (הן הראשית והן המשנית) מסדירה גם הסוגיה של הכרעה בעניינים שאינם בתחום הידיעה השיפוטית [סעיף 8(ג) לחוק בית משפט לענייני משפחה, תשנ"ה-1995 ותקנה 25 לתקנות בית משפט לענייני משפחה (סדרי דין), תשפ"א-2020], ואין צורך להכביר מלים בדבר.    </w:t>
      </w:r>
    </w:p>
    <w:p w:rsidR="00D3423B" w:rsidRDefault="00D3423B" w:rsidP="00D3423B">
      <w:pPr>
        <w:pStyle w:val="a3"/>
        <w:spacing w:before="120" w:line="360" w:lineRule="auto"/>
        <w:jc w:val="both"/>
        <w:rPr>
          <w:rFonts w:ascii="Arial" w:hAnsi="Arial"/>
          <w:noProof w:val="0"/>
          <w:rtl/>
        </w:rPr>
      </w:pPr>
      <w:r>
        <w:rPr>
          <w:rFonts w:ascii="Arial" w:hAnsi="Arial"/>
          <w:noProof w:val="0"/>
          <w:rtl/>
        </w:rPr>
        <w:t xml:space="preserve"> </w:t>
      </w:r>
    </w:p>
    <w:p w:rsidR="00D3423B" w:rsidRDefault="00D3423B" w:rsidP="00D3423B">
      <w:pPr>
        <w:pStyle w:val="a3"/>
        <w:numPr>
          <w:ilvl w:val="0"/>
          <w:numId w:val="1"/>
        </w:numPr>
        <w:spacing w:line="360" w:lineRule="auto"/>
        <w:jc w:val="both"/>
        <w:rPr>
          <w:rFonts w:ascii="Arial" w:hAnsi="Arial"/>
          <w:noProof w:val="0"/>
          <w:rtl/>
        </w:rPr>
      </w:pPr>
      <w:r>
        <w:rPr>
          <w:rFonts w:ascii="Arial" w:hAnsi="Arial"/>
          <w:noProof w:val="0"/>
          <w:rtl/>
        </w:rPr>
        <w:t xml:space="preserve">באשר לטענות האחות כנגד ההוראה שניתנה לה לתיקון כתב התביעה שלה על יסוד הקבוע בהחלטה, הרי שעניין לנו בהוראה דיונית- ניהולית הנטועה בלבת שיקול הדעת של הערכאה הדיונית, וככלל אין דרכה של ערכאת הערעור להתערב בה אלא במקרים חריגים.  </w:t>
      </w:r>
    </w:p>
    <w:p w:rsidR="00D3423B" w:rsidRDefault="00D3423B" w:rsidP="00D3423B">
      <w:pPr>
        <w:pStyle w:val="a3"/>
        <w:spacing w:line="360" w:lineRule="auto"/>
        <w:jc w:val="both"/>
        <w:rPr>
          <w:rFonts w:ascii="Arial" w:hAnsi="Arial"/>
          <w:noProof w:val="0"/>
        </w:rPr>
      </w:pPr>
    </w:p>
    <w:p w:rsidR="00D3423B" w:rsidRDefault="00D3423B" w:rsidP="00D3423B">
      <w:pPr>
        <w:pStyle w:val="a3"/>
        <w:spacing w:line="360" w:lineRule="auto"/>
        <w:jc w:val="both"/>
        <w:rPr>
          <w:rFonts w:ascii="Arial" w:hAnsi="Arial"/>
          <w:noProof w:val="0"/>
          <w:rtl/>
        </w:rPr>
      </w:pPr>
      <w:r>
        <w:rPr>
          <w:rFonts w:ascii="Arial" w:hAnsi="Arial"/>
          <w:noProof w:val="0"/>
          <w:rtl/>
        </w:rPr>
        <w:t xml:space="preserve">לא מצאתי, כי בנסיבות המקרה דנא יש להתערב בהחלטה זו, משלא נפל בה פגם ומשאין בה משום עיוות דין (ראו: רע"א 1657/23 </w:t>
      </w:r>
      <w:r>
        <w:rPr>
          <w:rFonts w:ascii="Arial" w:hAnsi="Arial"/>
          <w:b/>
          <w:bCs/>
          <w:noProof w:val="0"/>
          <w:rtl/>
        </w:rPr>
        <w:t>קורוצ'קין נ' המרכז הרפואי ברזילי ואח'</w:t>
      </w:r>
      <w:r>
        <w:rPr>
          <w:rFonts w:ascii="Arial" w:hAnsi="Arial"/>
          <w:noProof w:val="0"/>
          <w:rtl/>
        </w:rPr>
        <w:t xml:space="preserve">, פורסם </w:t>
      </w:r>
      <w:r>
        <w:rPr>
          <w:rFonts w:ascii="Arial" w:hAnsi="Arial"/>
          <w:noProof w:val="0"/>
          <w:rtl/>
        </w:rPr>
        <w:lastRenderedPageBreak/>
        <w:t xml:space="preserve">במאגרים האלקטרוניים, רע"א 10788/02 </w:t>
      </w:r>
      <w:r>
        <w:rPr>
          <w:rFonts w:ascii="Arial" w:hAnsi="Arial"/>
          <w:b/>
          <w:bCs/>
          <w:noProof w:val="0"/>
          <w:rtl/>
        </w:rPr>
        <w:t>בנק דיסקונט לישראל בע"מ נ' יחזקאל</w:t>
      </w:r>
      <w:r>
        <w:rPr>
          <w:rFonts w:ascii="Arial" w:hAnsi="Arial"/>
          <w:noProof w:val="0"/>
          <w:rtl/>
        </w:rPr>
        <w:t xml:space="preserve">, פורסם במאגרים האלקטרוניים). </w:t>
      </w:r>
    </w:p>
    <w:p w:rsidR="00D3423B" w:rsidRDefault="00D3423B" w:rsidP="00D3423B">
      <w:pPr>
        <w:pStyle w:val="a3"/>
        <w:spacing w:line="360" w:lineRule="auto"/>
        <w:jc w:val="both"/>
        <w:rPr>
          <w:rFonts w:ascii="Arial" w:hAnsi="Arial"/>
          <w:noProof w:val="0"/>
          <w:rtl/>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 xml:space="preserve">הוא הדין גם בשאלת חיוב האחות בהוצאות האח  עליה היא משיגה, אשר בכגון דא נקבע כבר מקדמת דנא שהתערבות ערכאת הערעור תיעשה במשורה ובמקרים חריגים בלבד בהם נפלה טעות משפטית בשיקול דעתה או אם דבק בהחלטה פגם או פסול מוסרי (ראו והשוו: רע"א 7650/20  </w:t>
      </w:r>
      <w:r>
        <w:rPr>
          <w:rFonts w:ascii="Arial" w:hAnsi="Arial"/>
          <w:b/>
          <w:bCs/>
          <w:noProof w:val="0"/>
        </w:rPr>
        <w:t>Magic Software Enterprises Ltd</w:t>
      </w:r>
      <w:r>
        <w:rPr>
          <w:rFonts w:ascii="Arial" w:hAnsi="Arial"/>
          <w:noProof w:val="0"/>
          <w:rtl/>
        </w:rPr>
        <w:t xml:space="preserve"> </w:t>
      </w:r>
      <w:r>
        <w:rPr>
          <w:rFonts w:ascii="Arial" w:hAnsi="Arial" w:hint="cs"/>
          <w:b/>
          <w:bCs/>
          <w:noProof w:val="0"/>
          <w:rtl/>
        </w:rPr>
        <w:t>ואח' נ' פאיירפלאי בע"מ ואח'</w:t>
      </w:r>
      <w:r>
        <w:rPr>
          <w:rFonts w:ascii="Arial" w:hAnsi="Arial" w:hint="cs"/>
          <w:noProof w:val="0"/>
          <w:rtl/>
        </w:rPr>
        <w:t xml:space="preserve">, פורסם במאגרים האלקטרוניים; ע"א 6768/01 </w:t>
      </w:r>
      <w:r>
        <w:rPr>
          <w:rFonts w:ascii="Arial" w:hAnsi="Arial" w:hint="cs"/>
          <w:b/>
          <w:bCs/>
          <w:noProof w:val="0"/>
          <w:rtl/>
        </w:rPr>
        <w:t xml:space="preserve">רגב נ' מדינת ישראל, </w:t>
      </w:r>
      <w:r>
        <w:rPr>
          <w:rFonts w:ascii="Arial" w:hAnsi="Arial" w:hint="cs"/>
          <w:noProof w:val="0"/>
          <w:rtl/>
        </w:rPr>
        <w:t xml:space="preserve">פ"ד נט(4)625; ע"א 9833/09 </w:t>
      </w:r>
      <w:r>
        <w:rPr>
          <w:rFonts w:ascii="Arial" w:hAnsi="Arial" w:hint="cs"/>
          <w:b/>
          <w:bCs/>
          <w:noProof w:val="0"/>
          <w:rtl/>
        </w:rPr>
        <w:t xml:space="preserve">כהן נ' מדינת ישראל, </w:t>
      </w:r>
      <w:r>
        <w:rPr>
          <w:rFonts w:ascii="Arial" w:hAnsi="Arial" w:hint="cs"/>
          <w:noProof w:val="0"/>
          <w:rtl/>
        </w:rPr>
        <w:t xml:space="preserve">פורסם במאגרים האלקטרוניים), ומקרה זה שלפנינו, ולו נוכח גובה ההוצאות שנפסקו, אינו בא בגדרם. </w:t>
      </w:r>
    </w:p>
    <w:p w:rsidR="00D3423B" w:rsidRDefault="00D3423B" w:rsidP="00D3423B">
      <w:pPr>
        <w:rPr>
          <w:rFonts w:ascii="Arial" w:hAnsi="Arial"/>
          <w:noProof w:val="0"/>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 xml:space="preserve">סיכומו של דבר ועל יסוד האמור לעיל, </w:t>
      </w:r>
      <w:r>
        <w:rPr>
          <w:rFonts w:ascii="Arial" w:hAnsi="Arial"/>
          <w:noProof w:val="0"/>
          <w:u w:val="single"/>
          <w:rtl/>
        </w:rPr>
        <w:t>למעט שני עניינים אלה</w:t>
      </w:r>
      <w:r>
        <w:rPr>
          <w:rFonts w:ascii="Arial" w:hAnsi="Arial"/>
          <w:noProof w:val="0"/>
          <w:rtl/>
        </w:rPr>
        <w:t xml:space="preserve">: </w:t>
      </w:r>
      <w:r>
        <w:rPr>
          <w:rFonts w:ascii="Arial" w:hAnsi="Arial"/>
          <w:b/>
          <w:bCs/>
          <w:noProof w:val="0"/>
          <w:rtl/>
        </w:rPr>
        <w:t>א.</w:t>
      </w:r>
      <w:r>
        <w:rPr>
          <w:rFonts w:ascii="Arial" w:hAnsi="Arial"/>
          <w:noProof w:val="0"/>
          <w:rtl/>
        </w:rPr>
        <w:t xml:space="preserve"> הקביעה לפיה בהליך הקודם הוכרעה שאלת מועד היוולדה של עילת התביעה הכספית; </w:t>
      </w:r>
      <w:r>
        <w:rPr>
          <w:rFonts w:ascii="Arial" w:hAnsi="Arial"/>
          <w:b/>
          <w:bCs/>
          <w:noProof w:val="0"/>
          <w:rtl/>
        </w:rPr>
        <w:t>ב.</w:t>
      </w:r>
      <w:r>
        <w:rPr>
          <w:rFonts w:ascii="Arial" w:hAnsi="Arial"/>
          <w:noProof w:val="0"/>
          <w:rtl/>
        </w:rPr>
        <w:t xml:space="preserve"> הקביעה המשתמעת בעניין המועד להערכת שווי זכויות האחות בדירה – </w:t>
      </w:r>
      <w:r>
        <w:rPr>
          <w:rFonts w:ascii="Arial" w:hAnsi="Arial"/>
          <w:b/>
          <w:bCs/>
          <w:noProof w:val="0"/>
          <w:rtl/>
        </w:rPr>
        <w:t>מבוטלות בזאת</w:t>
      </w:r>
      <w:r>
        <w:rPr>
          <w:rFonts w:ascii="Arial" w:hAnsi="Arial"/>
          <w:noProof w:val="0"/>
          <w:rtl/>
        </w:rPr>
        <w:t xml:space="preserve">, וככל שיקבע ע"י הערכאה הדיונית, כי עילת התביעה לא התיישנה, יהא עליו להידרש ולהכריע גם בעניין השני שהוזכר, </w:t>
      </w:r>
      <w:r>
        <w:rPr>
          <w:rFonts w:ascii="Arial" w:hAnsi="Arial"/>
          <w:noProof w:val="0"/>
          <w:u w:val="single"/>
          <w:rtl/>
        </w:rPr>
        <w:t>לא מצאתי מקום להתערב בהחלטה ובקשות רשות הערעור נדחות בזאת</w:t>
      </w:r>
      <w:r>
        <w:rPr>
          <w:rFonts w:ascii="Arial" w:hAnsi="Arial"/>
          <w:noProof w:val="0"/>
          <w:rtl/>
        </w:rPr>
        <w:t xml:space="preserve">. </w:t>
      </w:r>
    </w:p>
    <w:p w:rsidR="00D3423B" w:rsidRDefault="00D3423B" w:rsidP="00D3423B">
      <w:pPr>
        <w:rPr>
          <w:rFonts w:ascii="Arial" w:hAnsi="Arial"/>
          <w:noProof w:val="0"/>
          <w:rtl/>
        </w:rPr>
      </w:pPr>
    </w:p>
    <w:p w:rsidR="00D3423B" w:rsidRDefault="00D3423B" w:rsidP="00D3423B">
      <w:pPr>
        <w:pStyle w:val="a3"/>
        <w:numPr>
          <w:ilvl w:val="0"/>
          <w:numId w:val="1"/>
        </w:numPr>
        <w:spacing w:line="360" w:lineRule="auto"/>
        <w:jc w:val="both"/>
        <w:rPr>
          <w:rFonts w:ascii="David" w:hAnsi="David"/>
          <w:noProof w:val="0"/>
        </w:rPr>
      </w:pPr>
      <w:r>
        <w:rPr>
          <w:rFonts w:ascii="David" w:hAnsi="David"/>
          <w:noProof w:val="0"/>
          <w:rtl/>
        </w:rPr>
        <w:t xml:space="preserve">נוכח התוצאה אליה הגעתי, איני עושה צו להוצאות וכל צד ישא בהוצאותיו. הערבונות שהופקדו ע"י הצדדים על פירותיהם יושבו לידיהם באמצעות באי כוחם. </w:t>
      </w:r>
    </w:p>
    <w:p w:rsidR="00D3423B" w:rsidRDefault="00D3423B" w:rsidP="00D3423B">
      <w:pPr>
        <w:jc w:val="both"/>
        <w:rPr>
          <w:rFonts w:ascii="David" w:hAnsi="David"/>
          <w:noProof w:val="0"/>
          <w:rtl/>
        </w:rPr>
      </w:pPr>
    </w:p>
    <w:p w:rsidR="00D3423B" w:rsidRDefault="00D3423B" w:rsidP="00D3423B">
      <w:pPr>
        <w:pStyle w:val="a3"/>
        <w:numPr>
          <w:ilvl w:val="0"/>
          <w:numId w:val="1"/>
        </w:numPr>
        <w:spacing w:line="360" w:lineRule="auto"/>
        <w:jc w:val="both"/>
        <w:rPr>
          <w:rFonts w:ascii="Arial" w:hAnsi="Arial"/>
          <w:noProof w:val="0"/>
        </w:rPr>
      </w:pPr>
      <w:r>
        <w:rPr>
          <w:rFonts w:ascii="Arial" w:hAnsi="Arial"/>
          <w:noProof w:val="0"/>
          <w:rtl/>
        </w:rPr>
        <w:t xml:space="preserve">המזכירות תסרוק ההחלטה להליך הקשור, תסגור את שני התיקים שבכותרת ותמציא ההחלטה לצדדים. </w:t>
      </w:r>
    </w:p>
    <w:p w:rsidR="00D3423B" w:rsidRDefault="00D3423B" w:rsidP="00D3423B">
      <w:pPr>
        <w:pStyle w:val="a3"/>
        <w:rPr>
          <w:rFonts w:ascii="Arial" w:hAnsi="Arial"/>
          <w:noProof w:val="0"/>
        </w:rPr>
      </w:pPr>
    </w:p>
    <w:p w:rsidR="00D3423B" w:rsidRDefault="00D3423B" w:rsidP="00D3423B">
      <w:pPr>
        <w:pStyle w:val="a3"/>
        <w:numPr>
          <w:ilvl w:val="0"/>
          <w:numId w:val="1"/>
        </w:numPr>
        <w:spacing w:line="360" w:lineRule="auto"/>
        <w:jc w:val="both"/>
        <w:rPr>
          <w:rFonts w:ascii="David" w:hAnsi="David"/>
          <w:noProof w:val="0"/>
        </w:rPr>
      </w:pPr>
      <w:r>
        <w:rPr>
          <w:rFonts w:ascii="David" w:hAnsi="David"/>
          <w:noProof w:val="0"/>
          <w:rtl/>
        </w:rPr>
        <w:t xml:space="preserve">ההחלטה ניתנת לפרסום בהיעדר שמות הצדדים ופרטים מזהים נוספים. </w:t>
      </w:r>
    </w:p>
    <w:p w:rsidR="00D3423B" w:rsidRDefault="00D3423B" w:rsidP="00D3423B">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 כסלו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נובמבר 2023</w:t>
          </w:r>
        </w:sdtContent>
      </w:sdt>
      <w:r>
        <w:rPr>
          <w:rFonts w:ascii="Arial" w:hAnsi="Arial"/>
          <w:noProof w:val="0"/>
          <w:rtl/>
        </w:rPr>
        <w:t>, בהעדר הצדדים.</w:t>
      </w:r>
    </w:p>
    <w:p w:rsidR="00D3423B" w:rsidRDefault="00C67C26" w:rsidP="00D3423B">
      <w:pPr>
        <w:tabs>
          <w:tab w:val="left" w:pos="2553"/>
        </w:tabs>
        <w:ind w:left="5040"/>
        <w:rPr>
          <w:rtl/>
        </w:rPr>
      </w:pPr>
      <w:sdt>
        <w:sdtPr>
          <w:rPr>
            <w:rtl/>
          </w:rPr>
          <w:alias w:val="2045"/>
          <w:tag w:val="2045"/>
          <w:id w:val="740689340"/>
          <w:placeholder>
            <w:docPart w:val="53E16C1FFCEF484588FE93CD9E52F998"/>
          </w:placeholder>
          <w:showingPlcHdr/>
          <w:text w:multiLine="1"/>
        </w:sdtPr>
        <w:sdtEndPr/>
        <w:sdtContent>
          <w:r w:rsidR="00D3423B">
            <w:rPr>
              <w:rtl/>
            </w:rPr>
            <w:t xml:space="preserve">     </w:t>
          </w:r>
        </w:sdtContent>
      </w:sdt>
    </w:p>
    <w:p w:rsidR="00D3423B" w:rsidRDefault="00D3423B" w:rsidP="00D3423B">
      <w:pPr>
        <w:tabs>
          <w:tab w:val="left" w:pos="2553"/>
        </w:tabs>
        <w:rPr>
          <w:rtl/>
        </w:rPr>
      </w:pPr>
      <w:r>
        <w:rPr>
          <w:rtl/>
        </w:rPr>
        <w:tab/>
      </w:r>
      <w:r>
        <w:rPr>
          <w:rtl/>
        </w:rPr>
        <w:tab/>
      </w:r>
      <w:r>
        <w:rPr>
          <w:rtl/>
        </w:rPr>
        <w:tab/>
      </w:r>
      <w:r>
        <w:rPr>
          <w:rtl/>
        </w:rPr>
        <w:tab/>
        <w:t xml:space="preserve">        </w:t>
      </w:r>
      <w:sdt>
        <w:sdtPr>
          <w:rPr>
            <w:rtl/>
          </w:rPr>
          <w:alias w:val="MergeField"/>
          <w:tag w:val="1237"/>
          <w:id w:val="-1348400751"/>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D3423B" w:rsidRDefault="00D3423B" w:rsidP="00D3423B">
      <w:pPr>
        <w:tabs>
          <w:tab w:val="left" w:pos="2553"/>
        </w:tabs>
        <w:rPr>
          <w:rFonts w:ascii="Arial" w:hAnsi="Arial"/>
          <w:noProof w:val="0"/>
        </w:rPr>
      </w:pPr>
    </w:p>
    <w:p w:rsidR="004A3F8F" w:rsidRDefault="004A3F8F"/>
    <w:sectPr w:rsidR="004A3F8F" w:rsidSect="00897C85">
      <w:head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C26" w:rsidRDefault="00C67C26" w:rsidP="00D3423B">
      <w:r>
        <w:separator/>
      </w:r>
    </w:p>
  </w:endnote>
  <w:endnote w:type="continuationSeparator" w:id="0">
    <w:p w:rsidR="00C67C26" w:rsidRDefault="00C67C26" w:rsidP="00D3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C26" w:rsidRDefault="00C67C26" w:rsidP="00D3423B">
      <w:r>
        <w:separator/>
      </w:r>
    </w:p>
  </w:footnote>
  <w:footnote w:type="continuationSeparator" w:id="0">
    <w:p w:rsidR="00C67C26" w:rsidRDefault="00C67C26" w:rsidP="00D3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968752352"/>
      <w:placeholder>
        <w:docPart w:val="79ABE5ED0B164B2F9E6E637EED69E3C3"/>
      </w:placeholder>
      <w:temporary/>
      <w:showingPlcHdr/>
      <w15:appearance w15:val="hidden"/>
    </w:sdtPr>
    <w:sdtEndPr/>
    <w:sdtContent>
      <w:p w:rsidR="00D3423B" w:rsidRDefault="00D3423B">
        <w:pPr>
          <w:pStyle w:val="a5"/>
          <w:rPr>
            <w:rtl/>
            <w:cs/>
          </w:rPr>
        </w:pPr>
        <w:r>
          <w:rPr>
            <w:rtl/>
            <w:cs/>
            <w:lang w:val="he-IL"/>
          </w:rPr>
          <w:t>[הקלד כאן]</w:t>
        </w:r>
      </w:p>
    </w:sdtContent>
  </w:sdt>
  <w:p w:rsidR="00D3423B" w:rsidRDefault="00D3423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91E5B"/>
    <w:multiLevelType w:val="hybridMultilevel"/>
    <w:tmpl w:val="4B5C5904"/>
    <w:lvl w:ilvl="0" w:tplc="5F743CD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23B"/>
    <w:rsid w:val="00014632"/>
    <w:rsid w:val="002657BE"/>
    <w:rsid w:val="004A3F8F"/>
    <w:rsid w:val="0053516F"/>
    <w:rsid w:val="00897C85"/>
    <w:rsid w:val="00C67C26"/>
    <w:rsid w:val="00D3423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04394E-89CC-4D11-93E7-44A8D4D77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3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23B"/>
    <w:pPr>
      <w:ind w:left="720"/>
      <w:contextualSpacing/>
    </w:pPr>
  </w:style>
  <w:style w:type="table" w:styleId="a4">
    <w:name w:val="Table Grid"/>
    <w:basedOn w:val="a1"/>
    <w:rsid w:val="00D3423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3423B"/>
    <w:pPr>
      <w:tabs>
        <w:tab w:val="center" w:pos="4153"/>
        <w:tab w:val="right" w:pos="8306"/>
      </w:tabs>
    </w:pPr>
  </w:style>
  <w:style w:type="character" w:customStyle="1" w:styleId="a6">
    <w:name w:val="כותרת עליונה תו"/>
    <w:basedOn w:val="a0"/>
    <w:link w:val="a5"/>
    <w:uiPriority w:val="99"/>
    <w:rsid w:val="00D3423B"/>
    <w:rPr>
      <w:rFonts w:ascii="Times New Roman" w:eastAsia="Times New Roman" w:hAnsi="Times New Roman" w:cs="David"/>
      <w:noProof/>
      <w:sz w:val="24"/>
      <w:szCs w:val="24"/>
    </w:rPr>
  </w:style>
  <w:style w:type="paragraph" w:styleId="a7">
    <w:name w:val="footer"/>
    <w:basedOn w:val="a"/>
    <w:link w:val="a8"/>
    <w:uiPriority w:val="99"/>
    <w:unhideWhenUsed/>
    <w:rsid w:val="00D3423B"/>
    <w:pPr>
      <w:tabs>
        <w:tab w:val="center" w:pos="4153"/>
        <w:tab w:val="right" w:pos="8306"/>
      </w:tabs>
    </w:pPr>
  </w:style>
  <w:style w:type="character" w:customStyle="1" w:styleId="a8">
    <w:name w:val="כותרת תחתונה תו"/>
    <w:basedOn w:val="a0"/>
    <w:link w:val="a7"/>
    <w:uiPriority w:val="99"/>
    <w:rsid w:val="00D3423B"/>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68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9E710C072C847EE85236BE686835B7A"/>
        <w:category>
          <w:name w:val="כללי"/>
          <w:gallery w:val="placeholder"/>
        </w:category>
        <w:types>
          <w:type w:val="bbPlcHdr"/>
        </w:types>
        <w:behaviors>
          <w:behavior w:val="content"/>
        </w:behaviors>
        <w:guid w:val="{B31DA1F0-A24D-4EB2-94BB-3ED919D46B9A}"/>
      </w:docPartPr>
      <w:docPartBody>
        <w:p w:rsidR="00F84B8D" w:rsidRDefault="00243BA0" w:rsidP="00243BA0">
          <w:pPr>
            <w:pStyle w:val="79E710C072C847EE85236BE686835B7A"/>
          </w:pPr>
          <w:r>
            <w:rPr>
              <w:rFonts w:ascii="Arial" w:hAnsi="Arial"/>
              <w:b/>
              <w:bCs/>
              <w:sz w:val="26"/>
              <w:szCs w:val="26"/>
              <w:rtl/>
            </w:rPr>
            <w:t>שם צד א' ללא שם של חסוי</w:t>
          </w:r>
        </w:p>
      </w:docPartBody>
    </w:docPart>
    <w:docPart>
      <w:docPartPr>
        <w:name w:val="22A911F7C6C042AEBE545433631CFFBE"/>
        <w:category>
          <w:name w:val="כללי"/>
          <w:gallery w:val="placeholder"/>
        </w:category>
        <w:types>
          <w:type w:val="bbPlcHdr"/>
        </w:types>
        <w:behaviors>
          <w:behavior w:val="content"/>
        </w:behaviors>
        <w:guid w:val="{1975AD63-AAA8-40F3-8BC1-904F26B14F0C}"/>
      </w:docPartPr>
      <w:docPartBody>
        <w:p w:rsidR="00F84B8D" w:rsidRDefault="00243BA0" w:rsidP="00243BA0">
          <w:pPr>
            <w:pStyle w:val="22A911F7C6C042AEBE545433631CFFBE"/>
          </w:pPr>
          <w:r>
            <w:rPr>
              <w:rFonts w:ascii="Arial" w:hAnsi="Arial"/>
              <w:b/>
              <w:bCs/>
              <w:sz w:val="26"/>
              <w:szCs w:val="26"/>
              <w:rtl/>
            </w:rPr>
            <w:t>שם צד ב' ללא שם של חסוי</w:t>
          </w:r>
        </w:p>
      </w:docPartBody>
    </w:docPart>
    <w:docPart>
      <w:docPartPr>
        <w:name w:val="53E16C1FFCEF484588FE93CD9E52F998"/>
        <w:category>
          <w:name w:val="כללי"/>
          <w:gallery w:val="placeholder"/>
        </w:category>
        <w:types>
          <w:type w:val="bbPlcHdr"/>
        </w:types>
        <w:behaviors>
          <w:behavior w:val="content"/>
        </w:behaviors>
        <w:guid w:val="{8527C390-1316-40FE-8F9C-DDBA05C49679}"/>
      </w:docPartPr>
      <w:docPartBody>
        <w:p w:rsidR="00F84B8D" w:rsidRDefault="00243BA0" w:rsidP="00243BA0">
          <w:pPr>
            <w:pStyle w:val="53E16C1FFCEF484588FE93CD9E52F998"/>
          </w:pPr>
          <w:r>
            <w:rPr>
              <w:rtl/>
            </w:rPr>
            <w:t xml:space="preserve">     </w:t>
          </w:r>
        </w:p>
      </w:docPartBody>
    </w:docPart>
    <w:docPart>
      <w:docPartPr>
        <w:name w:val="79ABE5ED0B164B2F9E6E637EED69E3C3"/>
        <w:category>
          <w:name w:val="כללי"/>
          <w:gallery w:val="placeholder"/>
        </w:category>
        <w:types>
          <w:type w:val="bbPlcHdr"/>
        </w:types>
        <w:behaviors>
          <w:behavior w:val="content"/>
        </w:behaviors>
        <w:guid w:val="{B4E826F9-0260-4E8E-A91A-837911605A38}"/>
      </w:docPartPr>
      <w:docPartBody>
        <w:p w:rsidR="00F84B8D" w:rsidRDefault="00243BA0" w:rsidP="00243BA0">
          <w:pPr>
            <w:pStyle w:val="79ABE5ED0B164B2F9E6E637EED69E3C3"/>
          </w:pPr>
          <w:r>
            <w:rPr>
              <w:rtl/>
              <w:cs/>
              <w:lang w:val="he-IL"/>
            </w:rPr>
            <w:t>[הקלד כאן]</w:t>
          </w:r>
        </w:p>
      </w:docPartBody>
    </w:docPart>
    <w:docPart>
      <w:docPartPr>
        <w:name w:val="99A7595D32374D98B01734AF66BD3A51"/>
        <w:category>
          <w:name w:val="כללי"/>
          <w:gallery w:val="placeholder"/>
        </w:category>
        <w:types>
          <w:type w:val="bbPlcHdr"/>
        </w:types>
        <w:behaviors>
          <w:behavior w:val="content"/>
        </w:behaviors>
        <w:guid w:val="{9AA15E28-2DAE-449B-AC33-2D70D1AB79BD}"/>
      </w:docPartPr>
      <w:docPartBody>
        <w:p w:rsidR="00F84B8D" w:rsidRDefault="00243BA0" w:rsidP="00243BA0">
          <w:pPr>
            <w:pStyle w:val="99A7595D32374D98B01734AF66BD3A51"/>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BA0"/>
    <w:rsid w:val="00243BA0"/>
    <w:rsid w:val="00E407E0"/>
    <w:rsid w:val="00F84B8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9E710C072C847EE85236BE686835B7A">
    <w:name w:val="79E710C072C847EE85236BE686835B7A"/>
    <w:rsid w:val="00243BA0"/>
    <w:pPr>
      <w:bidi/>
    </w:pPr>
  </w:style>
  <w:style w:type="paragraph" w:customStyle="1" w:styleId="22A911F7C6C042AEBE545433631CFFBE">
    <w:name w:val="22A911F7C6C042AEBE545433631CFFBE"/>
    <w:rsid w:val="00243BA0"/>
    <w:pPr>
      <w:bidi/>
    </w:pPr>
  </w:style>
  <w:style w:type="paragraph" w:customStyle="1" w:styleId="53E16C1FFCEF484588FE93CD9E52F998">
    <w:name w:val="53E16C1FFCEF484588FE93CD9E52F998"/>
    <w:rsid w:val="00243BA0"/>
    <w:pPr>
      <w:bidi/>
    </w:pPr>
  </w:style>
  <w:style w:type="paragraph" w:customStyle="1" w:styleId="D82C31CC0513453F966ECE2C44AB89FA">
    <w:name w:val="D82C31CC0513453F966ECE2C44AB89FA"/>
    <w:rsid w:val="00243BA0"/>
    <w:pPr>
      <w:bidi/>
    </w:pPr>
  </w:style>
  <w:style w:type="paragraph" w:customStyle="1" w:styleId="79ABE5ED0B164B2F9E6E637EED69E3C3">
    <w:name w:val="79ABE5ED0B164B2F9E6E637EED69E3C3"/>
    <w:rsid w:val="00243BA0"/>
    <w:pPr>
      <w:bidi/>
    </w:pPr>
  </w:style>
  <w:style w:type="paragraph" w:customStyle="1" w:styleId="8DCCAEB0AC504DE890CF564A3D711661">
    <w:name w:val="8DCCAEB0AC504DE890CF564A3D711661"/>
    <w:rsid w:val="00243BA0"/>
    <w:pPr>
      <w:bidi/>
    </w:pPr>
  </w:style>
  <w:style w:type="paragraph" w:customStyle="1" w:styleId="99A7595D32374D98B01734AF66BD3A51">
    <w:name w:val="99A7595D32374D98B01734AF66BD3A51"/>
    <w:rsid w:val="00243BA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4202</Words>
  <Characters>21011</Characters>
  <Application>Microsoft Office Word</Application>
  <DocSecurity>0</DocSecurity>
  <Lines>175</Lines>
  <Paragraphs>50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2023-11-30T09:11:00Z</dcterms:created>
  <dcterms:modified xsi:type="dcterms:W3CDTF">2023-11-30T09:11:00Z</dcterms:modified>
</cp:coreProperties>
</file>